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520"/>
        <w:tabs>
          <w:tab w:val="left" w:pos="6670" w:leader="none"/>
        </w:tabs>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ab/>
      </w:r>
      <w:r/>
    </w:p>
    <w:p>
      <w:pPr>
        <w:jc w:val="center"/>
        <w:rPr>
          <w:rFonts w:ascii="宋体" w:hAnsi="宋体" w:eastAsia="宋体" w:cs="宋体"/>
          <w:b/>
          <w:bCs/>
          <w:color w:val="000000" w:themeColor="text1"/>
          <w:sz w:val="72"/>
          <w:szCs w:val="72"/>
          <w:highlight w:val="none"/>
          <w14:textFill>
            <w14:solidFill>
              <w14:schemeClr w14:val="tx1"/>
            </w14:solidFill>
          </w14:textFill>
        </w:rPr>
      </w:pPr>
      <w:r>
        <w:rPr>
          <w:rFonts w:ascii="宋体" w:hAnsi="宋体" w:eastAsia="宋体" w:cs="宋体"/>
          <w:b/>
          <w:bCs/>
          <w:color w:val="000000" w:themeColor="text1"/>
          <w:sz w:val="72"/>
          <w:szCs w:val="72"/>
          <w:highlight w:val="none"/>
          <w14:textFill>
            <w14:solidFill>
              <w14:schemeClr w14:val="tx1"/>
            </w14:solidFill>
          </w14:textFill>
        </w:rPr>
      </w:r>
      <w:r/>
    </w:p>
    <w:p>
      <w:pPr>
        <w:jc w:val="center"/>
        <w:rPr>
          <w:rFonts w:ascii="宋体" w:hAnsi="宋体" w:eastAsia="宋体" w:cs="宋体"/>
          <w:b/>
          <w:bCs/>
          <w:color w:val="000000" w:themeColor="text1"/>
          <w:sz w:val="72"/>
          <w:szCs w:val="72"/>
          <w:highlight w:val="none"/>
          <w14:textFill>
            <w14:solidFill>
              <w14:schemeClr w14:val="tx1"/>
            </w14:solidFill>
          </w14:textFill>
        </w:rPr>
      </w:pPr>
      <w:r>
        <w:rPr>
          <w:rFonts w:ascii="宋体" w:hAnsi="宋体" w:eastAsia="宋体" w:cs="宋体"/>
          <w:b/>
          <w:bCs/>
          <w:color w:val="000000" w:themeColor="text1"/>
          <w:sz w:val="72"/>
          <w:szCs w:val="72"/>
          <w:highlight w:val="none"/>
          <w14:textFill>
            <w14:solidFill>
              <w14:schemeClr w14:val="tx1"/>
            </w14:solidFill>
          </w14:textFill>
        </w:rPr>
      </w:r>
      <w:r/>
    </w:p>
    <w:p>
      <w:pPr>
        <w:jc w:val="center"/>
        <w:rPr>
          <w:rFonts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苏州工业园区</w:t>
      </w:r>
      <w:r>
        <w:rPr>
          <w:rFonts w:hint="eastAsia" w:ascii="宋体" w:hAnsi="宋体" w:eastAsia="宋体" w:cs="宋体"/>
          <w:b/>
          <w:color w:val="000000" w:themeColor="text1"/>
          <w:sz w:val="72"/>
          <w:szCs w:val="72"/>
          <w:highlight w:val="none"/>
          <w14:textFill>
            <w14:solidFill>
              <w14:schemeClr w14:val="tx1"/>
            </w14:solidFill>
          </w14:textFill>
        </w:rPr>
        <w:t xml:space="preserve">政府采购</w:t>
      </w:r>
      <w:r/>
    </w:p>
    <w:p>
      <w:pPr>
        <w:ind w:firstLine="1446"/>
        <w:jc w:val="center"/>
        <w:rPr>
          <w:rFonts w:ascii="宋体" w:hAnsi="宋体" w:eastAsia="宋体" w:cs="宋体"/>
          <w:b/>
          <w:color w:val="000000" w:themeColor="text1"/>
          <w:sz w:val="72"/>
          <w:szCs w:val="72"/>
          <w:highlight w:val="none"/>
          <w14:textFill>
            <w14:solidFill>
              <w14:schemeClr w14:val="tx1"/>
            </w14:solidFill>
          </w14:textFill>
        </w:rPr>
      </w:pPr>
      <w:r>
        <w:rPr>
          <w:rFonts w:ascii="宋体" w:hAnsi="宋体" w:eastAsia="宋体" w:cs="宋体"/>
          <w:b/>
          <w:color w:val="000000" w:themeColor="text1"/>
          <w:sz w:val="72"/>
          <w:szCs w:val="72"/>
          <w:highlight w:val="none"/>
          <w14:textFill>
            <w14:solidFill>
              <w14:schemeClr w14:val="tx1"/>
            </w14:solidFill>
          </w14:textFill>
        </w:rPr>
      </w:r>
      <w:r/>
    </w:p>
    <w:p>
      <w:pPr>
        <w:jc w:val="center"/>
        <w:rPr>
          <w:rFonts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竞争性磋商文件</w:t>
      </w:r>
      <w:r/>
    </w:p>
    <w:p>
      <w:pPr>
        <w:ind w:firstLine="520"/>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578"/>
        <w:spacing w:line="360" w:lineRule="auto"/>
        <w:rPr>
          <w:rFonts w:ascii="宋体" w:hAnsi="宋体" w:eastAsia="宋体" w:cs="宋体"/>
          <w:b/>
          <w:color w:val="000000" w:themeColor="text1"/>
          <w:spacing w:val="-6"/>
          <w:sz w:val="30"/>
          <w:szCs w:val="30"/>
          <w:highlight w:val="none"/>
          <w14:textFill>
            <w14:solidFill>
              <w14:schemeClr w14:val="tx1"/>
            </w14:solidFill>
          </w14:textFill>
        </w:rPr>
      </w:pPr>
      <w:r>
        <w:rPr>
          <w:rFonts w:ascii="宋体" w:hAnsi="宋体" w:eastAsia="宋体" w:cs="宋体"/>
          <w:b/>
          <w:color w:val="000000" w:themeColor="text1"/>
          <w:spacing w:val="-6"/>
          <w:sz w:val="30"/>
          <w:szCs w:val="30"/>
          <w:highlight w:val="none"/>
          <w14:textFill>
            <w14:solidFill>
              <w14:schemeClr w14:val="tx1"/>
            </w14:solidFill>
          </w14:textFill>
        </w:rPr>
      </w:r>
      <w:r/>
    </w:p>
    <w:p>
      <w:pPr>
        <w:ind w:firstLine="578"/>
        <w:spacing w:line="360" w:lineRule="auto"/>
        <w:rPr>
          <w:rFonts w:ascii="宋体" w:hAnsi="宋体" w:eastAsia="宋体" w:cs="宋体"/>
          <w:b/>
          <w:color w:val="000000" w:themeColor="text1"/>
          <w:spacing w:val="-6"/>
          <w:sz w:val="30"/>
          <w:szCs w:val="30"/>
          <w:highlight w:val="none"/>
          <w14:textFill>
            <w14:solidFill>
              <w14:schemeClr w14:val="tx1"/>
            </w14:solidFill>
          </w14:textFill>
        </w:rPr>
      </w:pPr>
      <w:r>
        <w:rPr>
          <w:rFonts w:ascii="宋体" w:hAnsi="宋体" w:eastAsia="宋体" w:cs="宋体"/>
          <w:b/>
          <w:color w:val="000000" w:themeColor="text1"/>
          <w:spacing w:val="-6"/>
          <w:sz w:val="30"/>
          <w:szCs w:val="30"/>
          <w:highlight w:val="none"/>
          <w14:textFill>
            <w14:solidFill>
              <w14:schemeClr w14:val="tx1"/>
            </w14:solidFill>
          </w14:textFill>
        </w:rPr>
      </w:r>
      <w:r/>
    </w:p>
    <w:p>
      <w:pPr>
        <w:ind w:firstLine="1157"/>
        <w:jc w:val="left"/>
        <w:spacing w:line="360" w:lineRule="auto"/>
        <w:rPr>
          <w:rFonts w:hint="eastAsia" w:ascii="宋体" w:hAnsi="宋体" w:eastAsia="宋体" w:cs="宋体"/>
          <w:b/>
          <w:color w:val="000000" w:themeColor="text1"/>
          <w:spacing w:val="-6"/>
          <w:sz w:val="30"/>
          <w:szCs w:val="30"/>
          <w:highlight w:val="none"/>
          <w:lang w:eastAsia="zh-CN"/>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t xml:space="preserve">采购编号：</w:t>
      </w:r>
      <w:r>
        <w:rPr>
          <w:rFonts w:hint="eastAsia" w:ascii="宋体" w:hAnsi="宋体" w:eastAsia="宋体" w:cs="宋体"/>
          <w:b/>
          <w:color w:val="000000" w:themeColor="text1"/>
          <w:spacing w:val="-6"/>
          <w:sz w:val="30"/>
          <w:szCs w:val="30"/>
          <w:highlight w:val="none"/>
          <w:lang w:eastAsia="zh-CN"/>
          <w14:textFill>
            <w14:solidFill>
              <w14:schemeClr w14:val="tx1"/>
            </w14:solidFill>
          </w14:textFill>
        </w:rPr>
        <w:t xml:space="preserve">JSZC-320591-HXZJ-C2026-0010</w:t>
      </w:r>
      <w:r/>
    </w:p>
    <w:p>
      <w:pPr>
        <w:ind w:firstLine="1157"/>
        <w:jc w:val="left"/>
        <w:spacing w:line="360" w:lineRule="auto"/>
        <w:rPr>
          <w:rFonts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t xml:space="preserve">磋商采购单位：苏州工业园区综合行政执法局</w:t>
      </w:r>
      <w:r/>
    </w:p>
    <w:p>
      <w:pPr>
        <w:ind w:firstLine="1157"/>
        <w:jc w:val="left"/>
        <w:spacing w:line="360" w:lineRule="auto"/>
        <w:rPr>
          <w:rFonts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t xml:space="preserve">采购内容：2026年园区抑尘服务</w:t>
      </w:r>
      <w:r/>
    </w:p>
    <w:p>
      <w:pPr>
        <w:ind w:firstLine="1157"/>
        <w:jc w:val="left"/>
        <w:spacing w:line="360" w:lineRule="auto"/>
        <w:rPr>
          <w:rFonts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t xml:space="preserve">类别：服务类-其他</w:t>
      </w:r>
      <w:r/>
    </w:p>
    <w:p>
      <w:pPr>
        <w:pStyle w:val="1142"/>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522"/>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ind w:firstLine="522"/>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ind w:firstLine="522"/>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ind w:firstLine="522"/>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ind w:firstLine="618"/>
        <w:rPr>
          <w:rFonts w:ascii="宋体" w:hAnsi="宋体" w:eastAsia="宋体" w:cs="宋体"/>
          <w:b/>
          <w:color w:val="000000" w:themeColor="text1"/>
          <w:spacing w:val="-6"/>
          <w:sz w:val="32"/>
          <w:highlight w:val="none"/>
          <w14:textFill>
            <w14:solidFill>
              <w14:schemeClr w14:val="tx1"/>
            </w14:solidFill>
          </w14:textFill>
        </w:rPr>
      </w:pPr>
      <w:r>
        <w:rPr>
          <w:rFonts w:ascii="宋体" w:hAnsi="宋体" w:eastAsia="宋体" w:cs="宋体"/>
          <w:b/>
          <w:color w:val="000000" w:themeColor="text1"/>
          <w:spacing w:val="-6"/>
          <w:sz w:val="32"/>
          <w:highlight w:val="none"/>
          <w14:textFill>
            <w14:solidFill>
              <w14:schemeClr w14:val="tx1"/>
            </w14:solidFill>
          </w14:textFill>
        </w:rPr>
      </w:r>
      <w:r/>
    </w:p>
    <w:p>
      <w:pPr>
        <w:ind w:firstLine="618"/>
        <w:rPr>
          <w:rFonts w:ascii="宋体" w:hAnsi="宋体" w:eastAsia="宋体" w:cs="宋体"/>
          <w:b/>
          <w:color w:val="000000" w:themeColor="text1"/>
          <w:spacing w:val="-6"/>
          <w:sz w:val="32"/>
          <w:highlight w:val="none"/>
          <w14:textFill>
            <w14:solidFill>
              <w14:schemeClr w14:val="tx1"/>
            </w14:solidFill>
          </w14:textFill>
        </w:rPr>
      </w:pPr>
      <w:r>
        <w:rPr>
          <w:rFonts w:ascii="宋体" w:hAnsi="宋体" w:eastAsia="宋体" w:cs="宋体"/>
          <w:b/>
          <w:color w:val="000000" w:themeColor="text1"/>
          <w:spacing w:val="-6"/>
          <w:sz w:val="32"/>
          <w:highlight w:val="none"/>
          <w14:textFill>
            <w14:solidFill>
              <w14:schemeClr w14:val="tx1"/>
            </w14:solidFill>
          </w14:textFill>
        </w:rPr>
      </w:r>
      <w:r/>
    </w:p>
    <w:p>
      <w:pPr>
        <w:ind w:firstLine="643"/>
        <w:jc w:val="center"/>
        <w:spacing w:line="360" w:lineRule="auto"/>
        <w:rPr>
          <w:rFonts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苏州华星工程造价咨询有限公司</w:t>
      </w:r>
      <w:r/>
    </w:p>
    <w:p>
      <w:pPr>
        <w:ind w:firstLine="643"/>
        <w:jc w:val="center"/>
        <w:spacing w:line="360" w:lineRule="auto"/>
        <w:rPr>
          <w:rFonts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二○二六年</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五</w:t>
      </w:r>
      <w:r>
        <w:rPr>
          <w:rFonts w:hint="eastAsia" w:ascii="宋体" w:hAnsi="宋体" w:eastAsia="宋体" w:cs="宋体"/>
          <w:b/>
          <w:color w:val="000000" w:themeColor="text1"/>
          <w:sz w:val="32"/>
          <w:highlight w:val="none"/>
          <w14:textFill>
            <w14:solidFill>
              <w14:schemeClr w14:val="tx1"/>
            </w14:solidFill>
          </w14:textFill>
        </w:rPr>
        <w:t xml:space="preserve">月</w:t>
      </w:r>
      <w:r/>
    </w:p>
    <w:p>
      <w:pPr>
        <w:ind w:firstLine="723"/>
        <w:jc w:val="center"/>
        <w:spacing w:line="360" w:lineRule="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ind w:firstLine="723"/>
        <w:jc w:val="center"/>
        <w:spacing w:line="360" w:lineRule="auto"/>
        <w:rPr>
          <w:rFonts w:ascii="宋体" w:hAnsi="宋体" w:eastAsia="宋体" w:cs="宋体"/>
          <w:b/>
          <w:color w:val="000000" w:themeColor="text1"/>
          <w:sz w:val="36"/>
          <w:highlight w:val="none"/>
          <w14:textFill>
            <w14:solidFill>
              <w14:schemeClr w14:val="tx1"/>
            </w14:solidFill>
          </w14:textFill>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7" w:h="16840" w:orient="portrait"/>
          <w:pgMar w:top="1418" w:right="1418" w:bottom="1418" w:left="1418" w:header="851" w:footer="992" w:gutter="0"/>
          <w:cols w:num="1" w:sep="0" w:space="720" w:equalWidth="1"/>
          <w:docGrid w:linePitch="360"/>
          <w:titlePg/>
        </w:sectPr>
      </w:pPr>
      <w:r>
        <w:rPr>
          <w:rFonts w:ascii="宋体" w:hAnsi="宋体" w:eastAsia="宋体" w:cs="宋体"/>
          <w:b/>
          <w:color w:val="000000" w:themeColor="text1"/>
          <w:sz w:val="36"/>
          <w:highlight w:val="none"/>
          <w14:textFill>
            <w14:solidFill>
              <w14:schemeClr w14:val="tx1"/>
            </w14:solidFill>
          </w14:textFill>
        </w:rPr>
      </w:r>
      <w:r/>
    </w:p>
    <w:p>
      <w:pPr>
        <w:ind w:firstLine="723"/>
        <w:jc w:val="center"/>
        <w:spacing w:line="360" w:lineRule="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ind w:firstLine="723"/>
        <w:jc w:val="center"/>
        <w:spacing w:line="360" w:lineRule="auto"/>
        <w:rPr>
          <w:rFonts w:ascii="宋体" w:hAnsi="宋体" w:eastAsia="宋体" w:cs="宋体"/>
          <w:b/>
          <w:color w:val="000000" w:themeColor="text1"/>
          <w:sz w:val="36"/>
          <w:highlight w:val="none"/>
          <w14:textFill>
            <w14:solidFill>
              <w14:schemeClr w14:val="tx1"/>
            </w14:solidFill>
          </w14:textFill>
        </w:rPr>
      </w:pPr>
      <w:r>
        <w:rPr>
          <w:rFonts w:ascii="宋体" w:hAnsi="宋体" w:eastAsia="宋体" w:cs="宋体"/>
          <w:b/>
          <w:color w:val="000000" w:themeColor="text1"/>
          <w:sz w:val="36"/>
          <w:highlight w:val="none"/>
          <w14:textFill>
            <w14:solidFill>
              <w14:schemeClr w14:val="tx1"/>
            </w14:solidFill>
          </w14:textFill>
        </w:rPr>
      </w:r>
      <w:r/>
    </w:p>
    <w:p>
      <w:pPr>
        <w:pStyle w:val="1128"/>
        <w:ind w:firstLine="0"/>
        <w:jc w:val="center"/>
        <w:rPr>
          <w:rFonts w:ascii="宋体" w:hAnsi="宋体" w:eastAsia="宋体" w:cs="宋体"/>
          <w:b/>
          <w:color w:val="000000" w:themeColor="text1"/>
          <w:sz w:val="52"/>
          <w:highlight w:val="none"/>
          <w14:textFill>
            <w14:solidFill>
              <w14:schemeClr w14:val="tx1"/>
            </w14:solidFill>
          </w14:textFill>
        </w:rPr>
      </w:pPr>
      <w:r>
        <w:rPr>
          <w:rFonts w:hint="eastAsia" w:ascii="宋体" w:hAnsi="宋体" w:eastAsia="宋体" w:cs="宋体"/>
          <w:b/>
          <w:color w:val="000000" w:themeColor="text1"/>
          <w:sz w:val="52"/>
          <w:highlight w:val="none"/>
          <w14:textFill>
            <w14:solidFill>
              <w14:schemeClr w14:val="tx1"/>
            </w14:solidFill>
          </w14:textFill>
        </w:rPr>
        <w:t xml:space="preserve">总目录</w:t>
      </w:r>
      <w:r/>
    </w:p>
    <w:p>
      <w:pPr>
        <w:pStyle w:val="1142"/>
        <w:spacing w:line="360" w:lineRule="auto"/>
        <w:tabs>
          <w:tab w:val="right" w:pos="9022" w:leader="dot"/>
        </w:tabs>
        <w:rPr>
          <w:rFonts w:eastAsia="宋体"/>
          <w:color w:val="000000" w:themeColor="text1"/>
          <w:sz w:val="21"/>
          <w:szCs w:val="24"/>
          <w:highlight w:val="none"/>
          <w14:textFill>
            <w14:solidFill>
              <w14:schemeClr w14:val="tx1"/>
            </w14:solidFill>
          </w14:textFill>
        </w:rPr>
      </w:pPr>
      <w:r>
        <w:rPr>
          <w:rFonts w:eastAsia="宋体"/>
          <w:b/>
          <w:bCs/>
          <w:color w:val="000000" w:themeColor="text1"/>
          <w:sz w:val="30"/>
          <w:highlight w:val="none"/>
          <w14:textFill>
            <w14:solidFill>
              <w14:schemeClr w14:val="tx1"/>
            </w14:solidFill>
          </w14:textFill>
        </w:rPr>
        <w:fldChar w:fldCharType="begin"/>
      </w:r>
      <w:r>
        <w:rPr>
          <w:rFonts w:eastAsia="宋体"/>
          <w:b/>
          <w:bCs/>
          <w:color w:val="000000" w:themeColor="text1"/>
          <w:sz w:val="30"/>
          <w:highlight w:val="none"/>
          <w14:textFill>
            <w14:solidFill>
              <w14:schemeClr w14:val="tx1"/>
            </w14:solidFill>
          </w14:textFill>
        </w:rPr>
        <w:instrText xml:space="preserve"> TOC \o "1-1"</w:instrText>
      </w:r>
      <w:r>
        <w:rPr>
          <w:rFonts w:eastAsia="宋体"/>
          <w:b/>
          <w:bCs/>
          <w:color w:val="000000" w:themeColor="text1"/>
          <w:sz w:val="30"/>
          <w:highlight w:val="none"/>
          <w14:textFill>
            <w14:solidFill>
              <w14:schemeClr w14:val="tx1"/>
            </w14:solidFill>
          </w14:textFill>
        </w:rPr>
        <w:fldChar w:fldCharType="separate"/>
      </w:r>
      <w:r>
        <w:rPr>
          <w:rFonts w:hAnsi="宋体" w:eastAsia="宋体"/>
          <w:color w:val="000000" w:themeColor="text1"/>
          <w:highlight w:val="none"/>
          <w14:textFill>
            <w14:solidFill>
              <w14:schemeClr w14:val="tx1"/>
            </w14:solidFill>
          </w14:textFill>
        </w:rPr>
        <w:t xml:space="preserve">第一章</w:t>
      </w:r>
      <w:r>
        <w:rPr>
          <w:rFonts w:hint="eastAsia" w:hAnsi="宋体" w:eastAsia="宋体"/>
          <w:color w:val="000000" w:themeColor="text1"/>
          <w:highlight w:val="none"/>
          <w14:textFill>
            <w14:solidFill>
              <w14:schemeClr w14:val="tx1"/>
            </w14:solidFill>
          </w14:textFill>
        </w:rPr>
        <w:t xml:space="preserve">竞争性磋商公告............................................................................................</w:t>
      </w:r>
      <w:r>
        <w:rPr>
          <w:rFonts w:hint="eastAsia" w:eastAsia="宋体"/>
          <w:color w:val="000000" w:themeColor="text1"/>
          <w:highlight w:val="none"/>
          <w14:textFill>
            <w14:solidFill>
              <w14:schemeClr w14:val="tx1"/>
            </w14:solidFill>
          </w14:textFill>
        </w:rPr>
        <w:t xml:space="preserve">5</w:t>
      </w:r>
      <w:r/>
    </w:p>
    <w:p>
      <w:pPr>
        <w:pStyle w:val="1142"/>
        <w:spacing w:line="360" w:lineRule="auto"/>
        <w:tabs>
          <w:tab w:val="right" w:pos="9022" w:leader="dot"/>
        </w:tabs>
        <w:rPr>
          <w:rFonts w:eastAsia="宋体"/>
          <w:color w:val="000000" w:themeColor="text1"/>
          <w:sz w:val="21"/>
          <w:szCs w:val="24"/>
          <w:highlight w:val="none"/>
          <w14:textFill>
            <w14:solidFill>
              <w14:schemeClr w14:val="tx1"/>
            </w14:solidFill>
          </w14:textFill>
        </w:rPr>
      </w:pPr>
      <w:r>
        <w:rPr>
          <w:rFonts w:hAnsi="宋体" w:eastAsia="宋体"/>
          <w:color w:val="000000" w:themeColor="text1"/>
          <w:highlight w:val="none"/>
          <w14:textFill>
            <w14:solidFill>
              <w14:schemeClr w14:val="tx1"/>
            </w14:solidFill>
          </w14:textFill>
        </w:rPr>
        <w:t xml:space="preserve">第二章磋商供应商须知</w:t>
      </w:r>
      <w:r>
        <w:rPr>
          <w:rFonts w:hint="eastAsia" w:hAnsi="宋体" w:eastAsia="宋体"/>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9</w:t>
      </w:r>
      <w:r/>
    </w:p>
    <w:p>
      <w:pPr>
        <w:pStyle w:val="1142"/>
        <w:spacing w:line="360" w:lineRule="auto"/>
        <w:tabs>
          <w:tab w:val="right" w:pos="9022" w:leader="dot"/>
        </w:tabs>
        <w:rPr>
          <w:rFonts w:eastAsia="宋体"/>
          <w:color w:val="000000" w:themeColor="text1"/>
          <w:sz w:val="21"/>
          <w:szCs w:val="24"/>
          <w:highlight w:val="none"/>
          <w14:textFill>
            <w14:solidFill>
              <w14:schemeClr w14:val="tx1"/>
            </w14:solidFill>
          </w14:textFill>
        </w:rPr>
      </w:pPr>
      <w:r>
        <w:rPr>
          <w:rFonts w:hAnsi="宋体" w:eastAsia="宋体"/>
          <w:color w:val="000000" w:themeColor="text1"/>
          <w:highlight w:val="none"/>
          <w14:textFill>
            <w14:solidFill>
              <w14:schemeClr w14:val="tx1"/>
            </w14:solidFill>
          </w14:textFill>
        </w:rPr>
        <w:t xml:space="preserve">第三章磋商响应文件格式</w:t>
      </w:r>
      <w:r>
        <w:rPr>
          <w:rFonts w:hint="eastAsia" w:hAnsi="宋体" w:eastAsia="宋体"/>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23</w:t>
      </w:r>
      <w:r/>
    </w:p>
    <w:p>
      <w:pPr>
        <w:pStyle w:val="1142"/>
        <w:spacing w:line="360" w:lineRule="auto"/>
        <w:tabs>
          <w:tab w:val="right" w:pos="9022" w:leader="dot"/>
        </w:tabs>
        <w:rPr>
          <w:rFonts w:eastAsia="宋体"/>
          <w:color w:val="000000" w:themeColor="text1"/>
          <w:sz w:val="21"/>
          <w:szCs w:val="24"/>
          <w:highlight w:val="none"/>
          <w14:textFill>
            <w14:solidFill>
              <w14:schemeClr w14:val="tx1"/>
            </w14:solidFill>
          </w14:textFill>
        </w:rPr>
      </w:pPr>
      <w:r>
        <w:rPr>
          <w:rFonts w:hAnsi="宋体" w:eastAsia="宋体"/>
          <w:color w:val="000000" w:themeColor="text1"/>
          <w:highlight w:val="none"/>
          <w14:textFill>
            <w14:solidFill>
              <w14:schemeClr w14:val="tx1"/>
            </w14:solidFill>
          </w14:textFill>
        </w:rPr>
        <w:t xml:space="preserve">第四章</w:t>
      </w:r>
      <w:r>
        <w:rPr>
          <w:rFonts w:eastAsia="宋体"/>
          <w:color w:val="000000" w:themeColor="text1"/>
          <w:highlight w:val="none"/>
          <w14:textFill>
            <w14:solidFill>
              <w14:schemeClr w14:val="tx1"/>
            </w14:solidFill>
          </w14:textFill>
        </w:rPr>
        <w:t xml:space="preserve">磋商采购内容</w:t>
      </w:r>
      <w:r>
        <w:rPr>
          <w:rFonts w:hint="eastAsia" w:eastAsia="宋体"/>
          <w:color w:val="000000" w:themeColor="text1"/>
          <w:highlight w:val="none"/>
          <w14:textFill>
            <w14:solidFill>
              <w14:schemeClr w14:val="tx1"/>
            </w14:solidFill>
          </w14:textFill>
        </w:rPr>
        <w:t xml:space="preserve">..............................................................................................46</w:t>
      </w:r>
      <w:r/>
    </w:p>
    <w:p>
      <w:pPr>
        <w:pStyle w:val="1142"/>
        <w:spacing w:line="360" w:lineRule="auto"/>
        <w:tabs>
          <w:tab w:val="right" w:pos="9022" w:leader="dot"/>
        </w:tabs>
        <w:rPr>
          <w:rFonts w:eastAsia="宋体"/>
          <w:color w:val="000000" w:themeColor="text1"/>
          <w:sz w:val="21"/>
          <w:szCs w:val="24"/>
          <w:highlight w:val="none"/>
          <w14:textFill>
            <w14:solidFill>
              <w14:schemeClr w14:val="tx1"/>
            </w14:solidFill>
          </w14:textFill>
        </w:rPr>
      </w:pPr>
      <w:r>
        <w:rPr>
          <w:rFonts w:hAnsi="宋体" w:eastAsia="宋体"/>
          <w:color w:val="000000" w:themeColor="text1"/>
          <w:highlight w:val="none"/>
          <w14:textFill>
            <w14:solidFill>
              <w14:schemeClr w14:val="tx1"/>
            </w14:solidFill>
          </w14:textFill>
        </w:rPr>
        <w:t xml:space="preserve">第五章合同主要条款</w:t>
      </w:r>
      <w:r>
        <w:rPr>
          <w:rFonts w:hint="eastAsia" w:hAnsi="宋体" w:eastAsia="宋体"/>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51</w:t>
      </w:r>
      <w:r/>
    </w:p>
    <w:p>
      <w:pPr>
        <w:pStyle w:val="1142"/>
        <w:spacing w:line="360" w:lineRule="auto"/>
        <w:tabs>
          <w:tab w:val="right" w:pos="9022" w:leader="dot"/>
        </w:tabs>
        <w:rPr>
          <w:rFonts w:eastAsia="宋体"/>
          <w:color w:val="000000" w:themeColor="text1"/>
          <w:highlight w:val="none"/>
          <w14:textFill>
            <w14:solidFill>
              <w14:schemeClr w14:val="tx1"/>
            </w14:solidFill>
          </w14:textFill>
        </w:rPr>
      </w:pPr>
      <w:r>
        <w:rPr>
          <w:rFonts w:hAnsi="宋体" w:eastAsia="宋体"/>
          <w:color w:val="000000" w:themeColor="text1"/>
          <w:highlight w:val="none"/>
          <w14:textFill>
            <w14:solidFill>
              <w14:schemeClr w14:val="tx1"/>
            </w14:solidFill>
          </w14:textFill>
        </w:rPr>
        <w:t xml:space="preserve">第六章评分标准</w:t>
      </w:r>
      <w:r>
        <w:rPr>
          <w:rFonts w:hint="eastAsia" w:hAnsi="宋体" w:eastAsia="宋体"/>
          <w:color w:val="000000" w:themeColor="text1"/>
          <w:highlight w:val="none"/>
          <w14:textFill>
            <w14:solidFill>
              <w14:schemeClr w14:val="tx1"/>
            </w14:solidFill>
          </w14:textFill>
        </w:rPr>
        <w:t xml:space="preserve">.......................................................................................................</w:t>
      </w:r>
      <w:r>
        <w:rPr>
          <w:rFonts w:hint="eastAsia" w:eastAsia="宋体"/>
          <w:color w:val="000000" w:themeColor="text1"/>
          <w:highlight w:val="none"/>
          <w14:textFill>
            <w14:solidFill>
              <w14:schemeClr w14:val="tx1"/>
            </w14:solidFill>
          </w14:textFill>
        </w:rPr>
        <w:t xml:space="preserve">76</w:t>
      </w:r>
      <w:r/>
    </w:p>
    <w:p>
      <w:pPr>
        <w:rPr>
          <w:color w:val="000000" w:themeColor="text1"/>
          <w:highlight w:val="none"/>
          <w14:textFill>
            <w14:solidFill>
              <w14:schemeClr w14:val="tx1"/>
            </w14:solidFill>
          </w14:textFill>
        </w:rPr>
      </w:pPr>
      <w:r>
        <w:rPr>
          <w:rFonts w:hint="eastAsia" w:eastAsia="宋体"/>
          <w:color w:val="000000" w:themeColor="text1"/>
          <w:highlight w:val="none"/>
          <w14:textFill>
            <w14:solidFill>
              <w14:schemeClr w14:val="tx1"/>
            </w14:solidFill>
          </w14:textFill>
        </w:rPr>
        <w:t xml:space="preserve">附件</w:t>
      </w:r>
      <w:r/>
    </w:p>
    <w:p>
      <w:pPr>
        <w:rPr>
          <w:rFonts w:eastAsia="宋体"/>
          <w:color w:val="000000" w:themeColor="text1"/>
          <w:highlight w:val="none"/>
          <w14:textFill>
            <w14:solidFill>
              <w14:schemeClr w14:val="tx1"/>
            </w14:solidFill>
          </w14:textFill>
        </w:rPr>
      </w:pPr>
      <w:r>
        <w:rPr>
          <w:rFonts w:eastAsia="宋体"/>
          <w:color w:val="000000" w:themeColor="text1"/>
          <w:highlight w:val="none"/>
          <w14:textFill>
            <w14:solidFill>
              <w14:schemeClr w14:val="tx1"/>
            </w14:solidFill>
          </w14:textFill>
        </w:rPr>
      </w:r>
      <w:r/>
    </w:p>
    <w:p>
      <w:pPr>
        <w:pStyle w:val="1128"/>
        <w:ind w:firstLine="0"/>
        <w:jc w:val="center"/>
        <w:rPr>
          <w:rFonts w:ascii="宋体" w:hAnsi="宋体" w:eastAsia="宋体" w:cs="宋体"/>
          <w:b/>
          <w:color w:val="000000" w:themeColor="text1"/>
          <w:sz w:val="52"/>
          <w:highlight w:val="none"/>
          <w14:textFill>
            <w14:solidFill>
              <w14:schemeClr w14:val="tx1"/>
            </w14:solidFill>
          </w14:textFill>
        </w:rPr>
      </w:pPr>
      <w:r>
        <w:rPr>
          <w:rFonts w:eastAsia="宋体"/>
          <w:b/>
          <w:bCs/>
          <w:color w:val="000000" w:themeColor="text1"/>
          <w:sz w:val="30"/>
          <w:highlight w:val="none"/>
          <w14:textFill>
            <w14:solidFill>
              <w14:schemeClr w14:val="tx1"/>
            </w14:solidFill>
          </w14:textFill>
        </w:rPr>
        <w:fldChar w:fldCharType="end"/>
      </w:r>
      <w:r/>
    </w:p>
    <w:p>
      <w:pPr>
        <w:pStyle w:val="1128"/>
        <w:ind w:firstLine="600"/>
        <w:jc w:val="center"/>
        <w:rPr>
          <w:rFonts w:ascii="宋体" w:hAnsi="宋体" w:eastAsia="宋体" w:cs="宋体"/>
          <w:color w:val="000000" w:themeColor="text1"/>
          <w:sz w:val="30"/>
          <w:highlight w:val="none"/>
          <w14:textFill>
            <w14:solidFill>
              <w14:schemeClr w14:val="tx1"/>
            </w14:solidFill>
          </w14:textFill>
        </w:rPr>
      </w:pPr>
      <w:r>
        <w:rPr>
          <w:rFonts w:ascii="宋体" w:hAnsi="宋体" w:eastAsia="宋体" w:cs="宋体"/>
          <w:color w:val="000000" w:themeColor="text1"/>
          <w:sz w:val="30"/>
          <w:highlight w:val="none"/>
          <w14:textFill>
            <w14:solidFill>
              <w14:schemeClr w14:val="tx1"/>
            </w14:solidFill>
          </w14:textFill>
        </w:rPr>
      </w:r>
      <w:r/>
    </w:p>
    <w:p>
      <w:pPr>
        <w:pStyle w:val="1128"/>
        <w:ind w:firstLine="600"/>
        <w:jc w:val="center"/>
        <w:rPr>
          <w:rFonts w:ascii="宋体" w:hAnsi="宋体" w:eastAsia="宋体" w:cs="宋体"/>
          <w:color w:val="000000" w:themeColor="text1"/>
          <w:sz w:val="30"/>
          <w:highlight w:val="none"/>
          <w14:textFill>
            <w14:solidFill>
              <w14:schemeClr w14:val="tx1"/>
            </w14:solidFill>
          </w14:textFill>
        </w:rPr>
      </w:pPr>
      <w:r>
        <w:rPr>
          <w:rFonts w:ascii="宋体" w:hAnsi="宋体" w:eastAsia="宋体" w:cs="宋体"/>
          <w:color w:val="000000" w:themeColor="text1"/>
          <w:sz w:val="30"/>
          <w:highlight w:val="none"/>
          <w14:textFill>
            <w14:solidFill>
              <w14:schemeClr w14:val="tx1"/>
            </w14:solidFill>
          </w14:textFill>
        </w:rPr>
      </w:r>
      <w:r/>
    </w:p>
    <w:p>
      <w:pPr>
        <w:ind w:firstLine="602"/>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firstLine="602"/>
        <w:rPr>
          <w:rFonts w:ascii="宋体" w:hAnsi="宋体" w:eastAsia="宋体" w:cs="宋体"/>
          <w:b/>
          <w:bCs/>
          <w:color w:val="000000" w:themeColor="text1"/>
          <w:sz w:val="30"/>
          <w:highlight w:val="none"/>
          <w14:textFill>
            <w14:solidFill>
              <w14:schemeClr w14:val="tx1"/>
            </w14:solidFill>
          </w14:textFill>
        </w:rPr>
      </w:pPr>
      <w:r>
        <w:rPr>
          <w:rFonts w:ascii="宋体" w:hAnsi="宋体" w:eastAsia="宋体" w:cs="宋体"/>
          <w:b/>
          <w:bCs/>
          <w:color w:val="000000" w:themeColor="text1"/>
          <w:sz w:val="30"/>
          <w:highlight w:val="none"/>
          <w14:textFill>
            <w14:solidFill>
              <w14:schemeClr w14:val="tx1"/>
            </w14:solidFill>
          </w14:textFill>
        </w:rPr>
      </w:r>
      <w:r/>
    </w:p>
    <w:p>
      <w:pPr>
        <w:pStyle w:val="1128"/>
        <w:ind w:firstLine="600"/>
        <w:spacing w:line="360" w:lineRule="auto"/>
        <w:rPr>
          <w:rFonts w:ascii="宋体" w:hAnsi="宋体" w:eastAsia="宋体" w:cs="宋体"/>
          <w:color w:val="000000" w:themeColor="text1"/>
          <w:sz w:val="30"/>
          <w:highlight w:val="none"/>
          <w14:textFill>
            <w14:solidFill>
              <w14:schemeClr w14:val="tx1"/>
            </w14:solidFill>
          </w14:textFill>
        </w:rPr>
      </w:pPr>
      <w:r>
        <w:rPr>
          <w:rFonts w:ascii="宋体" w:hAnsi="宋体" w:eastAsia="宋体" w:cs="宋体"/>
          <w:color w:val="000000" w:themeColor="text1"/>
          <w:sz w:val="30"/>
          <w:highlight w:val="none"/>
          <w14:textFill>
            <w14:solidFill>
              <w14:schemeClr w14:val="tx1"/>
            </w14:solidFill>
          </w14:textFill>
        </w:rPr>
      </w:r>
      <w:r/>
    </w:p>
    <w:p>
      <w:pPr>
        <w:ind w:firstLine="723"/>
        <w:jc w:val="center"/>
        <w:spacing w:line="360" w:lineRule="auto"/>
        <w:rPr>
          <w:rFonts w:ascii="宋体" w:hAnsi="宋体" w:eastAsia="宋体" w:cs="宋体"/>
          <w:b/>
          <w:color w:val="000000" w:themeColor="text1"/>
          <w:sz w:val="36"/>
          <w:highlight w:val="none"/>
          <w14:textFill>
            <w14:solidFill>
              <w14:schemeClr w14:val="tx1"/>
            </w14:solidFill>
          </w14:textFill>
        </w:rPr>
        <w:sectPr>
          <w:footerReference w:type="default" r:id="rId17"/>
          <w:footerReference w:type="first" r:id="rId18"/>
          <w:footnotePr/>
          <w:endnotePr/>
          <w:type w:val="nextPage"/>
          <w:pgSz w:w="11907" w:h="16840" w:orient="portrait"/>
          <w:pgMar w:top="1418" w:right="1418" w:bottom="1418" w:left="1418" w:header="851" w:footer="992" w:gutter="0"/>
          <w:cols w:num="1" w:sep="0" w:space="720" w:equalWidth="1"/>
          <w:docGrid w:linePitch="360"/>
          <w:titlePg/>
        </w:sectPr>
      </w:pPr>
      <w:r/>
      <w:bookmarkStart w:id="0" w:name="_Toc291668807"/>
      <w:r/>
      <w:r/>
    </w:p>
    <w:p>
      <w:pPr>
        <w:ind w:firstLine="723"/>
        <w:jc w:val="center"/>
        <w:spacing w:line="360" w:lineRule="auto"/>
        <w:rPr>
          <w:rFonts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前附表</w:t>
      </w:r>
      <w:r/>
    </w:p>
    <w:tbl>
      <w:tblPr>
        <w:tblStyle w:val="1126"/>
        <w:tblW w:w="9416" w:type="dxa"/>
        <w:tblInd w:w="-2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31"/>
        <w:gridCol w:w="8685"/>
      </w:tblGrid>
      <w:tr>
        <w:trPr>
          <w:trHeight w:val="495"/>
        </w:trPr>
        <w:tc>
          <w:tcPr>
            <w:tcW w:w="731" w:type="dxa"/>
            <w:vAlign w:val="center"/>
            <w:textDirection w:val="lrTb"/>
            <w:noWrap w:val="false"/>
          </w:tcPr>
          <w:p>
            <w:pPr>
              <w:jc w:val="center"/>
              <w:spacing w:line="276"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项号</w:t>
            </w:r>
            <w:r/>
          </w:p>
        </w:tc>
        <w:tc>
          <w:tcPr>
            <w:tcW w:w="8685" w:type="dxa"/>
            <w:vAlign w:val="center"/>
            <w:textDirection w:val="lrTb"/>
            <w:noWrap w:val="false"/>
          </w:tcPr>
          <w:p>
            <w:pPr>
              <w:jc w:val="center"/>
              <w:spacing w:line="276"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内容规定</w:t>
            </w:r>
            <w:r/>
          </w:p>
        </w:tc>
      </w:tr>
      <w:tr>
        <w:trPr>
          <w:trHeight w:val="495"/>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8685" w:type="dxa"/>
            <w:vAlign w:val="center"/>
            <w:textDirection w:val="lrTb"/>
            <w:noWrap w:val="false"/>
          </w:tcPr>
          <w:p>
            <w:pPr>
              <w:spacing w:line="276"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采购内容：2026年园区抑尘服务</w:t>
            </w:r>
            <w:r/>
          </w:p>
        </w:tc>
      </w:tr>
      <w:tr>
        <w:trPr>
          <w:trHeight w:val="495"/>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8685" w:type="dxa"/>
            <w:vAlign w:val="center"/>
            <w:textDirection w:val="lrTb"/>
            <w:noWrap w:val="false"/>
          </w:tcPr>
          <w:p>
            <w:pP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标段数：1个标段</w:t>
            </w:r>
            <w:r/>
          </w:p>
        </w:tc>
      </w:tr>
      <w:tr>
        <w:trPr>
          <w:trHeight w:val="495"/>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8685" w:type="dxa"/>
            <w:vAlign w:val="center"/>
            <w:textDirection w:val="lrTb"/>
            <w:noWrap w:val="false"/>
          </w:tcPr>
          <w:p>
            <w:pPr>
              <w:spacing w:line="276"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响应文件有效期为六十天（日历日）</w:t>
            </w:r>
            <w:r/>
          </w:p>
        </w:tc>
      </w:tr>
      <w:tr>
        <w:trPr>
          <w:trHeight w:val="495"/>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8685" w:type="dxa"/>
            <w:vAlign w:val="center"/>
            <w:textDirection w:val="lrTb"/>
            <w:noWrap w:val="false"/>
          </w:tcPr>
          <w:p>
            <w:pPr>
              <w:spacing w:line="276" w:lineRule="auto"/>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磋商保证金：本项目不需要</w:t>
            </w:r>
            <w:r/>
          </w:p>
        </w:tc>
      </w:tr>
      <w:tr>
        <w:trPr>
          <w:trHeight w:val="1151"/>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8685" w:type="dxa"/>
            <w:vAlign w:val="center"/>
            <w:textDirection w:val="lrTb"/>
            <w:noWrap w:val="false"/>
          </w:tcPr>
          <w:p>
            <w:pPr>
              <w:spacing w:line="271"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磋商响应文件提交：</w:t>
            </w:r>
            <w:r/>
          </w:p>
          <w:p>
            <w:pPr>
              <w:spacing w:line="276"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上传截止时间：2026年0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日09:30（北京时间）</w:t>
            </w:r>
            <w:r/>
          </w:p>
          <w:p>
            <w:pPr>
              <w:spacing w:line="276"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w:t>
            </w:r>
            <w:r>
              <w:rPr>
                <w:rFonts w:hint="eastAsia" w:ascii="宋体" w:hAnsi="宋体" w:eastAsia="宋体" w:cs="宋体"/>
                <w:bCs/>
                <w:color w:val="000000" w:themeColor="text1"/>
                <w:sz w:val="24"/>
                <w:szCs w:val="24"/>
                <w:highlight w:val="none"/>
                <w14:textFill>
                  <w14:solidFill>
                    <w14:schemeClr w14:val="tx1"/>
                  </w14:solidFill>
                </w14:textFill>
              </w:rPr>
              <w:t xml:space="preserve">苏采云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系统</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本项目为不见面开标（开启）项目，开标阶段供应商在【解密环节】必须使用 CA证书解密电子响应文件，如在“苏采云”系统规定的时间内未能成功解密的视为放弃参与本项目，响应无效。</w:t>
            </w:r>
            <w:r/>
          </w:p>
          <w:p>
            <w:pPr>
              <w:ind w:firstLine="480"/>
              <w:spacing w:line="271"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请供应商确保电脑、系统及其他设备（视频输入输出设备等）无误，且开启直至项目结束始终保持系统在线状态。</w:t>
            </w:r>
            <w:r/>
          </w:p>
        </w:tc>
      </w:tr>
      <w:tr>
        <w:trPr>
          <w:trHeight w:val="784"/>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8685" w:type="dxa"/>
            <w:vAlign w:val="center"/>
            <w:textDirection w:val="lrTb"/>
            <w:noWrap w:val="false"/>
          </w:tcPr>
          <w:p>
            <w:pPr>
              <w:spacing w:line="276"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磋商时间：</w:t>
            </w:r>
            <w:r/>
          </w:p>
          <w:p>
            <w:pPr>
              <w:spacing w:line="276" w:lineRule="auto"/>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响应文件开启时间</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2026年0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日09:30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p>
          <w:p>
            <w:pPr>
              <w:spacing w:line="276" w:lineRule="auto"/>
              <w:widowControl/>
              <w:rPr>
                <w:rFonts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磋商地点：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苏采云</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系统</w:t>
            </w:r>
            <w:r/>
          </w:p>
        </w:tc>
      </w:tr>
      <w:tr>
        <w:trPr>
          <w:trHeight w:val="784"/>
        </w:trPr>
        <w:tc>
          <w:tcPr>
            <w:shd w:val="clear" w:color="auto" w:fill="auto"/>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8685" w:type="dxa"/>
            <w:vAlign w:val="center"/>
            <w:textDirection w:val="lrTb"/>
            <w:noWrap w:val="false"/>
          </w:tcPr>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保证金：合同金额的5%。(可提供符合《关于在全省政府采购领域推行电子履约保函(保险)的通知》(苏财购[2023]150号)要求的电子履约保函)履约包含的金额、担保方式等实质性内容需满足招标文件附件《履约保函》的要求，否则采购人不予认可，由此带来的后果均由中标供应商承担。</w:t>
            </w:r>
            <w:r/>
          </w:p>
        </w:tc>
      </w:tr>
      <w:tr>
        <w:trPr>
          <w:trHeight w:val="784"/>
        </w:trPr>
        <w:tc>
          <w:tcPr>
            <w:shd w:val="clear" w:color="auto" w:fill="auto"/>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8685" w:type="dxa"/>
            <w:vAlign w:val="center"/>
            <w:textDirection w:val="lrTb"/>
            <w:noWrap w:val="false"/>
          </w:tcPr>
          <w:p>
            <w:pPr>
              <w:spacing w:line="276" w:lineRule="auto"/>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询问：</w:t>
            </w:r>
            <w:r/>
          </w:p>
          <w:p>
            <w:pPr>
              <w:spacing w:line="360" w:lineRule="auto"/>
              <w:widowControl/>
              <w:tabs>
                <w:tab w:val="left" w:pos="1200" w:leader="none"/>
              </w:tabs>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获取磋商文件成功的磋商供应商在下载磋商文件后，对磋商文件有疑问的，可通过邮件（972975910@qq.com）进行询问。采购代理机构通过邮件予以解答，询问人自行在邮件中查看解答信息。</w:t>
            </w:r>
            <w:r/>
          </w:p>
        </w:tc>
      </w:tr>
      <w:tr>
        <w:trPr>
          <w:trHeight w:val="784"/>
        </w:trPr>
        <w:tc>
          <w:tcPr>
            <w:tcW w:w="731" w:type="dxa"/>
            <w:vAlign w:val="center"/>
            <w:textDirection w:val="lrTb"/>
            <w:noWrap w:val="false"/>
          </w:tcPr>
          <w:p>
            <w:pPr>
              <w:jc w:val="cente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8685" w:type="dxa"/>
            <w:vAlign w:val="center"/>
            <w:textDirection w:val="lrTb"/>
            <w:noWrap w:val="false"/>
          </w:tcPr>
          <w:p>
            <w:pPr>
              <w:spacing w:line="360" w:lineRule="auto"/>
              <w:rPr>
                <w:rFonts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w:t>
            </w:r>
            <w:r/>
          </w:p>
          <w:p>
            <w:pPr>
              <w:ind w:firstLine="600"/>
              <w:jc w:val="left"/>
              <w:spacing w:line="276" w:lineRule="auto"/>
              <w:rPr>
                <w:rFonts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供应商认为本采购文件条款使自己的权益受到损害的，应在知道或者应知权益受到损害之日起七个工作日内，以书面形式向采购代理机构提出质疑。采购代理机构应当在收到磋商供应商书面质疑后七个工作日内作出答复。</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质疑应符合政府采购质疑和投诉办法(中华人民共和国财政部令第94号)。</w:t>
            </w:r>
            <w:r/>
          </w:p>
          <w:p>
            <w:pPr>
              <w:ind w:firstLine="600"/>
              <w:jc w:val="left"/>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依照采购公告要求获取磋商文件的磋商供应商，视为未参加该项政府采购活动，不具备对该项目提出质疑的法定权利。但因磋商供应商资格条件或获取时间设定不符合有关法律法规规定等原因使磋商供应商权益受损的除外。</w:t>
            </w:r>
            <w:r/>
          </w:p>
          <w:p>
            <w:pPr>
              <w:ind w:firstLine="600"/>
              <w:jc w:val="left"/>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磋商供应商如对本项目提出质疑须在法定质疑期内一次性提出针对同一采购程序环节的质疑。</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接受质疑函的方式：当场送达或邮寄方式。</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联系单位：苏州华星工程造价咨询有限公司</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收件人：田娟</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联系电话：0512-65200462</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通讯地址：苏州工业园区苏雅路388号新天翔商业广场A座12楼1206室</w:t>
            </w:r>
            <w:r/>
          </w:p>
        </w:tc>
      </w:tr>
      <w:tr>
        <w:trPr>
          <w:trHeight w:val="1131"/>
        </w:trPr>
        <w:tc>
          <w:tcPr>
            <w:tcW w:w="731" w:type="dxa"/>
            <w:vAlign w:val="center"/>
            <w:textDirection w:val="lrTb"/>
            <w:noWrap w:val="false"/>
          </w:tcPr>
          <w:p>
            <w:pPr>
              <w:jc w:val="center"/>
              <w:spacing w:line="271"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8685" w:type="dxa"/>
            <w:vAlign w:val="center"/>
            <w:textDirection w:val="lrTb"/>
            <w:noWrap w:val="false"/>
          </w:tcPr>
          <w:p>
            <w:pPr>
              <w:pStyle w:val="1128"/>
              <w:ind w:firstLine="0"/>
              <w:jc w:val="both"/>
              <w:spacing w:line="348" w:lineRule="auto"/>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代理服务费按</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代理合同中约定收取，收费标准为：代理费收费表的标准</w:t>
            </w:r>
            <w:r>
              <w:rPr>
                <w:rFonts w:hint="eastAsia" w:ascii="宋体" w:hAnsi="宋体" w:eastAsia="宋体" w:cs="宋体"/>
                <w:color w:val="000000" w:themeColor="text1"/>
                <w:szCs w:val="24"/>
                <w:highlight w:val="none"/>
                <w14:textFill>
                  <w14:solidFill>
                    <w14:schemeClr w14:val="tx1"/>
                  </w14:solidFill>
                </w14:textFill>
              </w:rPr>
              <w:t xml:space="preserve">*60%</w:t>
            </w:r>
            <w:r>
              <w:rPr>
                <w:rFonts w:hint="eastAsia" w:ascii="宋体" w:hAnsi="宋体" w:eastAsia="宋体" w:cs="宋体"/>
                <w:color w:val="000000" w:themeColor="text1"/>
                <w:szCs w:val="24"/>
                <w:highlight w:val="none"/>
                <w:lang w:eastAsia="zh-CN"/>
                <w14:textFill>
                  <w14:solidFill>
                    <w14:schemeClr w14:val="tx1"/>
                  </w14:solidFill>
                </w14:textFill>
              </w:rPr>
              <w:t xml:space="preserve">，</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标准如下</w:t>
            </w:r>
            <w:r>
              <w:rPr>
                <w:rFonts w:hint="eastAsia" w:ascii="宋体" w:hAnsi="宋体" w:eastAsia="宋体" w:cs="宋体"/>
                <w:color w:val="000000" w:themeColor="text1"/>
                <w:szCs w:val="24"/>
                <w:highlight w:val="none"/>
                <w14:textFill>
                  <w14:solidFill>
                    <w14:schemeClr w14:val="tx1"/>
                  </w14:solidFill>
                </w14:textFill>
              </w:rPr>
              <w:t xml:space="preserve">：</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 100 万元以下部分，费率为该部分预算金额的 1.5%；</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 100 万元（含）－500 万元部分，费率为该部分预算金额的 0.8%；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 500 万元（含）-1000 万元部分，费率为该部分预算金额的 0.45%；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 1000 万元（含）-5000 万元部分，费率为该部分预算金额的 0.25%；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 5000 万元（含）-10000 万元部分，费率为该部分预算金额的 0.1%；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 10000 万元以上的部分，费率为该部分预算金额的 0.05%。 </w:t>
            </w:r>
            <w:r/>
          </w:p>
          <w:p>
            <w:pP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说明：代理服务费以采购预算金额为基数依据，按以上规定的标准和差额定率累进法进行计算收取。 例：如预算金额为 150 万元，则代理服务费＝[100 万元以下部分×1.5%＋（150 万元－100 万元以下 部分）×0.8%]×0.6。如按上述方法计算的金额低于人民币 3000 元整的，则本项目代理服务费按人民币 3000 元整计收。</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本项目</w:t>
            </w:r>
            <w:r>
              <w:rPr>
                <w:rFonts w:hint="eastAsia" w:ascii="宋体" w:hAnsi="宋体" w:eastAsia="宋体" w:cs="宋体"/>
                <w:color w:val="000000" w:themeColor="text1"/>
                <w:sz w:val="24"/>
                <w:szCs w:val="24"/>
                <w:highlight w:val="none"/>
                <w14:textFill>
                  <w14:solidFill>
                    <w14:schemeClr w14:val="tx1"/>
                  </w14:solidFill>
                </w14:textFill>
              </w:rPr>
              <w:t xml:space="preserve">代理服务费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由于采购人未在采购预算中列支该项经费，由成交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color w:val="000000" w:themeColor="text1"/>
                <w:sz w:val="24"/>
                <w:szCs w:val="24"/>
                <w:highlight w:val="none"/>
                <w14:textFill>
                  <w14:solidFill>
                    <w14:schemeClr w14:val="tx1"/>
                  </w14:solidFill>
                </w14:textFill>
              </w:rPr>
              <w:t xml:space="preserve">领取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通知书时向采购代理机构一次性付清。</w:t>
            </w:r>
            <w:r/>
          </w:p>
          <w:p>
            <w:pPr>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本项目代理费金额：21720元</w:t>
            </w:r>
            <w:r/>
          </w:p>
          <w:p>
            <w:pPr>
              <w:jc w:val="left"/>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收款单位：苏州华星工程造价咨询有限公司</w:t>
            </w:r>
            <w:r/>
          </w:p>
          <w:p>
            <w:pPr>
              <w:jc w:val="left"/>
              <w:spacing w:line="276"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银行账号：520958193351</w:t>
            </w:r>
            <w:r/>
          </w:p>
          <w:p>
            <w:pPr>
              <w:jc w:val="left"/>
              <w:spacing w:line="276"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开户银行：中国银行股份有限公司苏州东环路支行</w:t>
            </w:r>
            <w:r/>
          </w:p>
        </w:tc>
      </w:tr>
      <w:tr>
        <w:trPr>
          <w:trHeight w:val="1131"/>
        </w:trPr>
        <w:tc>
          <w:tcPr>
            <w:tcW w:w="731" w:type="dxa"/>
            <w:vAlign w:val="center"/>
            <w:textDirection w:val="lrTb"/>
            <w:noWrap w:val="false"/>
          </w:tcPr>
          <w:p>
            <w:pPr>
              <w:jc w:val="center"/>
              <w:spacing w:line="271"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8685" w:type="dxa"/>
            <w:vAlign w:val="center"/>
            <w:textDirection w:val="lrTb"/>
            <w:noWrap w:val="false"/>
          </w:tcPr>
          <w:p>
            <w:pPr>
              <w:pStyle w:val="1146"/>
              <w:jc w:val="both"/>
              <w:spacing w:before="0" w:beforeAutospacing="0" w:after="0" w:afterAutospacing="0" w:line="348" w:lineRule="auto"/>
              <w:widowControl w:val="off"/>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特别提醒：</w:t>
            </w:r>
            <w:r/>
          </w:p>
          <w:p>
            <w:pPr>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1、本项目支持网上不见面开标，供应商不需到现场参加磋商会。</w:t>
            </w:r>
            <w:r/>
          </w:p>
          <w:p>
            <w:pPr>
              <w:jc w:val="left"/>
              <w:spacing w:line="360" w:lineRule="auto"/>
              <w:rPr>
                <w:rFonts w:eastAsia="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p>
        </w:tc>
      </w:tr>
    </w:tbl>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第一章</w:t>
      </w:r>
      <w:bookmarkEnd w:id="0"/>
      <w:r>
        <w:rPr>
          <w:rFonts w:hint="eastAsia" w:ascii="宋体" w:hAnsi="宋体" w:eastAsia="宋体" w:cs="宋体"/>
          <w:color w:val="000000" w:themeColor="text1"/>
          <w:sz w:val="52"/>
          <w:highlight w:val="none"/>
          <w14:textFill>
            <w14:solidFill>
              <w14:schemeClr w14:val="tx1"/>
            </w14:solidFill>
          </w14:textFill>
        </w:rPr>
        <w:t xml:space="preserve">竞争性磋商公告</w:t>
      </w:r>
      <w:bookmarkStart w:id="1" w:name="_Toc35393629"/>
      <w:r/>
      <w:bookmarkStart w:id="2" w:name="_Toc28359089"/>
      <w:r/>
      <w:bookmarkStart w:id="3" w:name="_Toc28359012"/>
      <w:r/>
      <w:bookmarkStart w:id="4" w:name="_Toc35393798"/>
      <w:r/>
      <w:bookmarkStart w:id="5" w:name="_Toc291668808"/>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keepLines w:val="0"/>
        <w:keepNext w:val="0"/>
        <w:pageBreakBefore w:val="0"/>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bl>
      <w:tblPr>
        <w:tblStyle w:val="11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1"/>
      </w:tblGrid>
      <w:tr>
        <w:trPr/>
        <w:tc>
          <w:tcPr>
            <w:tcW w:w="9155" w:type="dxa"/>
            <w:textDirection w:val="lrTb"/>
            <w:noWrap w:val="false"/>
          </w:tcPr>
          <w:p>
            <w:pPr>
              <w:ind w:firstLine="480"/>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项目概况</w:t>
            </w:r>
            <w:r/>
          </w:p>
          <w:p>
            <w:pPr>
              <w:jc w:val="lef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2026年园区抑尘服务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JSZC-320591-HXZJ-C2026-0010</w:t>
            </w:r>
            <w:r>
              <w:rPr>
                <w:rFonts w:hint="eastAsia" w:ascii="宋体" w:hAnsi="宋体" w:eastAsia="宋体" w:cs="宋体"/>
                <w:bCs/>
                <w:color w:val="000000" w:themeColor="text1"/>
                <w:sz w:val="24"/>
                <w:szCs w:val="24"/>
                <w:highlight w:val="none"/>
                <w14:textFill>
                  <w14:solidFill>
                    <w14:schemeClr w14:val="tx1"/>
                  </w14:solidFill>
                </w14:textFill>
              </w:rPr>
              <w:t xml:space="preserve">采购项目的潜在磋商供应商应在“苏采云”系统获取采购文件，并于</w:t>
            </w:r>
            <w:r>
              <w:rPr>
                <w:rFonts w:hint="eastAsia" w:ascii="宋体" w:hAnsi="宋体" w:eastAsia="宋体" w:cs="宋体"/>
                <w:color w:val="000000" w:themeColor="text1"/>
                <w:sz w:val="24"/>
                <w:szCs w:val="24"/>
                <w:highlight w:val="none"/>
                <w14:textFill>
                  <w14:solidFill>
                    <w14:schemeClr w14:val="tx1"/>
                  </w14:solidFill>
                </w14:textFill>
              </w:rPr>
              <w:t xml:space="preserve">2026年0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bCs/>
                <w:color w:val="000000" w:themeColor="text1"/>
                <w:sz w:val="24"/>
                <w:szCs w:val="24"/>
                <w:highlight w:val="none"/>
                <w14:textFill>
                  <w14:solidFill>
                    <w14:schemeClr w14:val="tx1"/>
                  </w14:solidFill>
                </w14:textFill>
              </w:rPr>
              <w:t xml:space="preserve">09点30分（北京时间）前提交响应文件。</w:t>
            </w:r>
            <w:r/>
          </w:p>
        </w:tc>
      </w:tr>
    </w:tbl>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一、项目基本情况</w:t>
      </w:r>
      <w:bookmarkEnd w:id="1"/>
      <w:r/>
      <w:bookmarkEnd w:id="2"/>
      <w:r/>
      <w:bookmarkEnd w:id="3"/>
      <w:r/>
      <w:bookmarkEnd w:id="4"/>
      <w:r/>
      <w:r/>
    </w:p>
    <w:p>
      <w:pPr>
        <w:ind w:firstLine="48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JSZC-320591-HXZJ-C2026-0010</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项目名称：2026年园区抑尘服务</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采购方式：竞争性磋商</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预算金额：叁佰陆拾伍万元整 ￥3650000.00元</w:t>
      </w:r>
      <w:r/>
    </w:p>
    <w:p>
      <w:pPr>
        <w:ind w:firstLine="48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最高限价：叁佰陆拾叁万玖仟叁佰元整 ￥3639300.00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bookmarkStart w:id="6" w:name="_Toc35393799"/>
      <w:r/>
      <w:bookmarkStart w:id="7" w:name="_Toc28359013"/>
      <w:r/>
      <w:bookmarkStart w:id="8" w:name="_Toc35393630"/>
      <w:r/>
      <w:bookmarkStart w:id="9" w:name="_Toc28359090"/>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1、服务内容</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采用抑尘车对园区部分道路进行雾炮抑尘作业。</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2、服务范围</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苏州工业园区部分道路</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3、服务期限</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24个月（计划进场日期为2026年6月11日至2028年6月10日，实际进场日期以采购人书面通知为准）。</w:t>
      </w:r>
      <w:r/>
    </w:p>
    <w:p>
      <w:pPr>
        <w:ind w:firstLine="480"/>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本项目不接受联合体。</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二、申请人的资格要求：</w:t>
      </w:r>
      <w:bookmarkEnd w:id="6"/>
      <w:r/>
      <w:bookmarkEnd w:id="7"/>
      <w:r/>
      <w:bookmarkEnd w:id="8"/>
      <w:r/>
      <w:bookmarkEnd w:id="9"/>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1.1具有独立承担民事责任的能力；</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1.2具有良好的商业信誉和健全的财务会计制度；</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1.3具有履行合同所必须的设备和专业技术能力；</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1.4有依法缴纳税收和社会保障资金的良好记录；</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1.5参加政府采购活动前三年内，在经营活动中没有重大违法记录；</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1.6法律、行政法规规定的其他条件。</w:t>
      </w:r>
      <w:r/>
    </w:p>
    <w:p>
      <w:pPr>
        <w:ind w:firstLine="480"/>
        <w:spacing w:line="288" w:lineRule="auto"/>
        <w:rPr>
          <w:rFonts w:ascii="宋体" w:hAnsi="宋体" w:eastAsia="宋体" w:cs="宋体"/>
          <w:color w:val="000000" w:themeColor="text1"/>
          <w:sz w:val="24"/>
          <w:szCs w:val="24"/>
          <w:highlight w:val="none"/>
          <w14:textFill>
            <w14:solidFill>
              <w14:schemeClr w14:val="tx1"/>
            </w14:solidFill>
          </w14:textFill>
        </w:rPr>
      </w:pPr>
      <w:r/>
      <w:bookmarkStart w:id="10" w:name="_Toc28359091"/>
      <w:r/>
      <w:bookmarkStart w:id="11" w:name="_Toc28359014"/>
      <w:r>
        <w:rPr>
          <w:rFonts w:hint="eastAsia" w:ascii="宋体" w:hAnsi="宋体" w:eastAsia="宋体" w:cs="宋体"/>
          <w:color w:val="000000" w:themeColor="text1"/>
          <w:sz w:val="24"/>
          <w:szCs w:val="24"/>
          <w:highlight w:val="none"/>
          <w14:textFill>
            <w14:solidFill>
              <w14:schemeClr w14:val="tx1"/>
            </w14:solidFill>
          </w14:textFill>
        </w:rPr>
        <w:t xml:space="preserve">2.落实政府采购政策需满足的资格要求：根据《政府采购促进中小企业发展管理办法》的相关规定，本项目专门面向中小微企业，所属行业为其他未列明行业，供应商所提供服务的承接单位应为中小微企业或监狱企业或残疾人福利性单位；</w:t>
      </w:r>
      <w:r/>
    </w:p>
    <w:p>
      <w:pPr>
        <w:ind w:firstLine="480"/>
        <w:tabs>
          <w:tab w:val="left" w:pos="4209" w:leader="none"/>
        </w:tabs>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3.本项目的特定资格要求：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12" w:name="_Toc35393800"/>
      <w:r/>
      <w:bookmarkStart w:id="13" w:name="_Toc35393631"/>
      <w:r>
        <w:rPr>
          <w:rFonts w:hint="eastAsia" w:ascii="宋体" w:hAnsi="宋体" w:eastAsia="宋体" w:cs="宋体"/>
          <w:color w:val="000000" w:themeColor="text1"/>
          <w:sz w:val="24"/>
          <w:szCs w:val="24"/>
          <w:highlight w:val="none"/>
          <w14:textFill>
            <w14:solidFill>
              <w14:schemeClr w14:val="tx1"/>
            </w14:solidFill>
          </w14:textFill>
        </w:rPr>
        <w:t xml:space="preserve">三、获取采购文件</w:t>
      </w:r>
      <w:bookmarkEnd w:id="10"/>
      <w:r/>
      <w:bookmarkEnd w:id="11"/>
      <w:r/>
      <w:bookmarkEnd w:id="12"/>
      <w:r/>
      <w:bookmarkEnd w:id="13"/>
      <w:r/>
      <w:r/>
    </w:p>
    <w:p>
      <w:pPr>
        <w:pStyle w:val="1146"/>
        <w:ind w:firstLine="480"/>
        <w:spacing w:before="0" w:beforeAutospacing="0" w:after="0" w:afterAutospacing="0" w:line="12" w:lineRule="atLeast"/>
        <w:shd w:val="clear" w:color="auto" w:fill="ffff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w:t>
      </w:r>
      <w:r>
        <w:rPr>
          <w:rFonts w:hint="eastAsia" w:asciiTheme="minorEastAsia" w:hAnsiTheme="minorEastAsia" w:eastAsiaTheme="minorEastAsia"/>
          <w:color w:val="000000" w:themeColor="text1"/>
          <w:highlight w:val="none"/>
          <w14:textFill>
            <w14:solidFill>
              <w14:schemeClr w14:val="tx1"/>
            </w14:solidFill>
          </w14:textFill>
        </w:rPr>
        <w:t xml:space="preserve">自磋商文件公告发布之日起5个工作日 </w:t>
      </w:r>
      <w:r/>
    </w:p>
    <w:p>
      <w:pPr>
        <w:pStyle w:val="1146"/>
        <w:ind w:firstLine="480"/>
        <w:spacing w:before="0" w:beforeAutospacing="0" w:after="0" w:afterAutospacing="0" w:line="12" w:lineRule="atLeast"/>
        <w:shd w:val="clear" w:color="auto" w:fill="ffff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地点：苏采云系统</w:t>
      </w:r>
      <w:r/>
    </w:p>
    <w:p>
      <w:pPr>
        <w:pStyle w:val="1146"/>
        <w:ind w:firstLine="480"/>
        <w:spacing w:before="0" w:beforeAutospacing="0" w:after="0" w:afterAutospacing="0" w:line="12" w:lineRule="atLeast"/>
        <w:shd w:val="clear" w:color="auto" w:fill="ffffff"/>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方式：在“苏采云”系统获取 </w:t>
      </w:r>
      <w:r/>
    </w:p>
    <w:p>
      <w:pPr>
        <w:pStyle w:val="1146"/>
        <w:ind w:firstLine="480"/>
        <w:spacing w:before="0" w:beforeAutospacing="0" w:after="0" w:afterAutospacing="0" w:line="12" w:lineRule="atLeast"/>
        <w:shd w:val="clear" w:color="auto" w:fill="ffffff"/>
        <w:rPr>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售价：0.00元</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四、响应文件提交</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截止时间：2026年0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日09:30（北京时间）</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地点：苏采云系统</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五、开启</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时间：2026年0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4"/>
          <w:szCs w:val="24"/>
          <w:highlight w:val="none"/>
          <w14:textFill>
            <w14:solidFill>
              <w14:schemeClr w14:val="tx1"/>
            </w14:solidFill>
          </w14:textFill>
        </w:rPr>
        <w:t xml:space="preserve">日09:30</w:t>
      </w:r>
      <w:r/>
    </w:p>
    <w:p>
      <w:pPr>
        <w:pStyle w:val="1157"/>
        <w:ind w:firstLine="480"/>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地点：苏州工业园区公共资源交易中心开标室（</w:t>
      </w:r>
      <w:r>
        <w:rPr>
          <w:rFonts w:hint="eastAsia" w:ascii="宋体" w:hAnsi="宋体" w:eastAsia="宋体" w:cs="宋体"/>
          <w:color w:val="000000" w:themeColor="text1"/>
          <w:highlight w:val="none"/>
          <w14:textFill>
            <w14:solidFill>
              <w14:schemeClr w14:val="tx1"/>
            </w14:solidFill>
          </w14:textFill>
        </w:rPr>
        <w:t xml:space="preserve">六</w:t>
      </w:r>
      <w:r>
        <w:rPr>
          <w:rFonts w:hint="eastAsia" w:ascii="宋体" w:hAnsi="宋体" w:eastAsia="宋体" w:cs="宋体"/>
          <w:color w:val="000000" w:themeColor="text1"/>
          <w:highlight w:val="none"/>
          <w14:textFill>
            <w14:solidFill>
              <w14:schemeClr w14:val="tx1"/>
            </w14:solidFill>
          </w14:textFill>
        </w:rPr>
        <w:t xml:space="preserve">）</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14" w:name="_Toc35393634"/>
      <w:r/>
      <w:bookmarkStart w:id="15" w:name="_Toc28359094"/>
      <w:r/>
      <w:bookmarkStart w:id="16" w:name="_Toc35393803"/>
      <w:r/>
      <w:bookmarkStart w:id="17" w:name="_Toc28359017"/>
      <w:r>
        <w:rPr>
          <w:rFonts w:hint="eastAsia" w:ascii="宋体" w:hAnsi="宋体" w:eastAsia="宋体" w:cs="宋体"/>
          <w:color w:val="000000" w:themeColor="text1"/>
          <w:sz w:val="24"/>
          <w:szCs w:val="24"/>
          <w:highlight w:val="none"/>
          <w14:textFill>
            <w14:solidFill>
              <w14:schemeClr w14:val="tx1"/>
            </w14:solidFill>
          </w14:textFill>
        </w:rPr>
        <w:t xml:space="preserve">六、公告期限</w:t>
      </w:r>
      <w:bookmarkEnd w:id="14"/>
      <w:r/>
      <w:bookmarkEnd w:id="15"/>
      <w:r/>
      <w:bookmarkEnd w:id="16"/>
      <w:r/>
      <w:bookmarkEnd w:id="17"/>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自本公告发布之日起3个工作日。</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18" w:name="_Toc35393804"/>
      <w:r/>
      <w:bookmarkStart w:id="19" w:name="_Toc35393635"/>
      <w:r>
        <w:rPr>
          <w:rFonts w:hint="eastAsia" w:ascii="宋体" w:hAnsi="宋体" w:eastAsia="宋体" w:cs="宋体"/>
          <w:color w:val="000000" w:themeColor="text1"/>
          <w:sz w:val="24"/>
          <w:szCs w:val="24"/>
          <w:highlight w:val="none"/>
          <w14:textFill>
            <w14:solidFill>
              <w14:schemeClr w14:val="tx1"/>
            </w14:solidFill>
          </w14:textFill>
        </w:rPr>
        <w:t xml:space="preserve">七、其他补充事宜</w:t>
      </w:r>
      <w:bookmarkEnd w:id="18"/>
      <w:r/>
      <w:bookmarkEnd w:id="19"/>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1、评审结果会在磋商会结束的同时通过苏采云系统告知供应商。供应商应及时登陆苏采云系统进行查看，否则导致的对供应商不利的后果由供应商自行承担。</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2、公告在苏州市政府采购网、江苏政府采购网上发布。</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3、苏州工业园区财政审计局政府采购监督电话：0512-66681110。</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20" w:name="_Hlk157935404"/>
      <w:r>
        <w:rPr>
          <w:rFonts w:hint="eastAsia" w:ascii="宋体" w:hAnsi="宋体" w:eastAsia="宋体" w:cs="宋体"/>
          <w:color w:val="000000" w:themeColor="text1"/>
          <w:sz w:val="24"/>
          <w:szCs w:val="24"/>
          <w:highlight w:val="none"/>
          <w14:textFill>
            <w14:solidFill>
              <w14:schemeClr w14:val="tx1"/>
            </w14:solidFill>
          </w14:textFill>
        </w:rPr>
        <w:t xml:space="preserve">4.方式：（1）CA办理</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供应商通过江苏省政府采购一体化平台“苏采云”系统（以下简称“苏采云”系</w:t>
      </w:r>
      <w:r>
        <w:rPr>
          <w:rFonts w:hint="eastAsia" w:ascii="宋体" w:hAnsi="宋体" w:eastAsia="宋体" w:cs="宋体"/>
          <w:color w:val="000000" w:themeColor="text1"/>
          <w:sz w:val="24"/>
          <w:szCs w:val="24"/>
          <w:highlight w:val="none"/>
          <w14:textFill>
            <w14:solidFill>
              <w14:schemeClr w14:val="tx1"/>
            </w14:solidFill>
          </w14:textFill>
        </w:rPr>
        <w:t xml:space="preserve">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（2）依法获取采购文件</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考虑到熟悉“苏采云”系统、办理CA证书都需要一定的时间，请提早准备以免耽误采购采购活动。</w:t>
      </w:r>
      <w:bookmarkEnd w:id="20"/>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5.未依照采购公告要求获取磋商文件的供应商，视为未参加该项政府采购活动，不具备对该政府采购项目提出质疑的法定权利。</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21" w:name="_Hlk157935701"/>
      <w:r>
        <w:rPr>
          <w:rFonts w:hint="eastAsia" w:ascii="宋体" w:hAnsi="宋体" w:eastAsia="宋体" w:cs="宋体"/>
          <w:color w:val="000000" w:themeColor="text1"/>
          <w:sz w:val="24"/>
          <w:szCs w:val="24"/>
          <w:highlight w:val="none"/>
          <w14:textFill>
            <w14:solidFill>
              <w14:schemeClr w14:val="tx1"/>
            </w14:solidFill>
          </w14:textFill>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bookmarkEnd w:id="21"/>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7、制作电子投标（响应）文件：</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w:t>
      </w:r>
      <w:r>
        <w:rPr>
          <w:rFonts w:hint="eastAsia" w:ascii="宋体" w:hAnsi="宋体" w:eastAsia="宋体" w:cs="宋体"/>
          <w:color w:val="000000" w:themeColor="text1"/>
          <w:sz w:val="24"/>
          <w:szCs w:val="24"/>
          <w:highlight w:val="none"/>
          <w14:textFill>
            <w14:solidFill>
              <w14:schemeClr w14:val="tx1"/>
            </w14:solidFill>
          </w14:textFill>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22" w:name="_Hlk157939025"/>
      <w:r>
        <w:rPr>
          <w:rFonts w:hint="eastAsia" w:ascii="宋体" w:hAnsi="宋体" w:eastAsia="宋体" w:cs="宋体"/>
          <w:color w:val="000000" w:themeColor="text1"/>
          <w:sz w:val="24"/>
          <w:szCs w:val="24"/>
          <w:highlight w:val="none"/>
          <w14:textFill>
            <w14:solidFill>
              <w14:schemeClr w14:val="tx1"/>
            </w14:solidFill>
          </w14:textFill>
        </w:rPr>
        <w:t xml:space="preserve">8、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bookmarkEnd w:id="22"/>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23" w:name="_Hlk157939038"/>
      <w:r>
        <w:rPr>
          <w:rFonts w:hint="eastAsia" w:ascii="宋体" w:hAnsi="宋体" w:eastAsia="宋体" w:cs="宋体"/>
          <w:color w:val="000000" w:themeColor="text1"/>
          <w:sz w:val="24"/>
          <w:szCs w:val="24"/>
          <w:highlight w:val="none"/>
          <w14:textFill>
            <w14:solidFill>
              <w14:schemeClr w14:val="tx1"/>
            </w14:solidFill>
          </w14:textFill>
        </w:rPr>
        <w:t xml:space="preserve">9</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、本项目获取采购文件截止日期之后仍可以下载采购文件，但截止日期之后下载的采购文件，视为非有效方式且不作为供应商权益受到损害的证明材料和依据。</w:t>
      </w:r>
      <w:bookmarkEnd w:id="23"/>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10、技术支持</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24" w:name="_Hlk155717243"/>
      <w:r/>
      <w:bookmarkStart w:id="25" w:name="_Hlk157939100"/>
      <w:r>
        <w:rPr>
          <w:rFonts w:hint="eastAsia" w:ascii="宋体" w:hAnsi="宋体" w:eastAsia="宋体" w:cs="宋体"/>
          <w:color w:val="000000" w:themeColor="text1"/>
          <w:sz w:val="24"/>
          <w:szCs w:val="24"/>
          <w:highlight w:val="none"/>
          <w14:textFill>
            <w14:solidFill>
              <w14:schemeClr w14:val="tx1"/>
            </w14:solidFill>
          </w14:textFill>
        </w:rPr>
        <w:t xml:space="preserve">CA技术咨询服务电话：400-608-6099</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电子签章技术咨询服务电话：15380932027、15371015030 、13675197356、 13675197221</w:t>
      </w:r>
      <w:r/>
    </w:p>
    <w:p>
      <w:pPr>
        <w:ind w:firstLine="480"/>
        <w:jc w:val="left"/>
        <w:rPr>
          <w:rFonts w:ascii="宋体" w:hAnsi="宋体" w:eastAsia="宋体" w:cs="宋体"/>
          <w:color w:val="000000" w:themeColor="text1"/>
          <w:sz w:val="24"/>
          <w:szCs w:val="24"/>
          <w:highlight w:val="none"/>
          <w14:textFill>
            <w14:solidFill>
              <w14:schemeClr w14:val="tx1"/>
            </w14:solidFill>
          </w14:textFill>
        </w:rPr>
      </w:pPr>
      <w:r/>
      <w:bookmarkStart w:id="26" w:name="_Hlk154588790"/>
      <w:r>
        <w:rPr>
          <w:rFonts w:hint="eastAsia" w:ascii="宋体" w:hAnsi="宋体" w:eastAsia="宋体" w:cs="宋体"/>
          <w:color w:val="000000" w:themeColor="text1"/>
          <w:sz w:val="24"/>
          <w:szCs w:val="24"/>
          <w:highlight w:val="none"/>
          <w14:textFill>
            <w14:solidFill>
              <w14:schemeClr w14:val="tx1"/>
            </w14:solidFill>
          </w14:textFill>
        </w:rPr>
        <w:t xml:space="preserve">“苏采云”平台技术咨询电话：0512-69820854、0519-86722802、13914088964、18261002950</w:t>
      </w:r>
      <w:bookmarkEnd w:id="24"/>
      <w:r/>
      <w:bookmarkEnd w:id="25"/>
      <w:r/>
      <w:bookmarkEnd w:id="26"/>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27" w:name="_Toc35393636"/>
      <w:r/>
      <w:bookmarkStart w:id="28" w:name="_Toc28359018"/>
      <w:r/>
      <w:bookmarkStart w:id="29" w:name="_Toc35393805"/>
      <w:r/>
      <w:bookmarkStart w:id="30" w:name="_Toc28359095"/>
      <w:r>
        <w:rPr>
          <w:rFonts w:hint="eastAsia" w:ascii="宋体" w:hAnsi="宋体" w:eastAsia="宋体" w:cs="宋体"/>
          <w:color w:val="000000" w:themeColor="text1"/>
          <w:sz w:val="24"/>
          <w:szCs w:val="24"/>
          <w:highlight w:val="none"/>
          <w14:textFill>
            <w14:solidFill>
              <w14:schemeClr w14:val="tx1"/>
            </w14:solidFill>
          </w14:textFill>
        </w:rPr>
        <w:t xml:space="preserve">11、本项目支持政府采购合同信用融资。</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八、凡对本次采购提出询问，请按以下方式联系。</w:t>
      </w:r>
      <w:bookmarkEnd w:id="27"/>
      <w:r/>
      <w:bookmarkEnd w:id="28"/>
      <w:r/>
      <w:bookmarkEnd w:id="29"/>
      <w:r/>
      <w:bookmarkEnd w:id="30"/>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31" w:name="_Toc28359019"/>
      <w:r/>
      <w:bookmarkStart w:id="32" w:name="_Toc28359096"/>
      <w:r/>
      <w:bookmarkStart w:id="33" w:name="_Toc35393637"/>
      <w:r/>
      <w:bookmarkStart w:id="34" w:name="_Toc35393806"/>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bookmarkEnd w:id="31"/>
      <w:r/>
      <w:bookmarkEnd w:id="32"/>
      <w:r/>
      <w:bookmarkEnd w:id="33"/>
      <w:r/>
      <w:bookmarkEnd w:id="34"/>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bookmarkStart w:id="35" w:name="_Toc35393638"/>
      <w:r/>
      <w:bookmarkStart w:id="36" w:name="_Toc28359097"/>
      <w:r/>
      <w:bookmarkStart w:id="37" w:name="_Toc28359020"/>
      <w:r/>
      <w:bookmarkStart w:id="38" w:name="_Toc35393807"/>
      <w:r>
        <w:rPr>
          <w:rFonts w:hint="eastAsia" w:ascii="宋体" w:hAnsi="宋体" w:eastAsia="宋体" w:cs="宋体"/>
          <w:color w:val="000000" w:themeColor="text1"/>
          <w:sz w:val="24"/>
          <w:szCs w:val="24"/>
          <w:highlight w:val="none"/>
          <w14:textFill>
            <w14:solidFill>
              <w14:schemeClr w14:val="tx1"/>
            </w14:solidFill>
          </w14:textFill>
        </w:rPr>
        <w:t xml:space="preserve">苏州工业园区综合行政执法局</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地址：苏州工业园区南施街233号城市管理大厦</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联系方式：任雪杰  0512-62871726</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bookmarkEnd w:id="35"/>
      <w:r/>
      <w:bookmarkEnd w:id="36"/>
      <w:r/>
      <w:bookmarkEnd w:id="37"/>
      <w:r/>
      <w:bookmarkEnd w:id="38"/>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名称：苏州华星工程造价咨询有限公司</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址：苏州工业园区苏雅路388号新天翔商业广场A座12楼1206室</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联系方式：0512-65200462</w:t>
      </w:r>
      <w:r/>
    </w:p>
    <w:p>
      <w:pPr>
        <w:ind w:firstLine="480"/>
        <w:rPr>
          <w:rFonts w:ascii="宋体" w:hAnsi="宋体" w:eastAsia="宋体" w:cs="宋体"/>
          <w:color w:val="000000" w:themeColor="text1"/>
          <w:sz w:val="24"/>
          <w:szCs w:val="24"/>
          <w:highlight w:val="none"/>
          <w14:textFill>
            <w14:solidFill>
              <w14:schemeClr w14:val="tx1"/>
            </w14:solidFill>
          </w14:textFill>
        </w:rPr>
      </w:pPr>
      <w:r/>
      <w:bookmarkStart w:id="39" w:name="_Toc28359021"/>
      <w:r/>
      <w:bookmarkStart w:id="40" w:name="_Toc35393639"/>
      <w:r/>
      <w:bookmarkStart w:id="41" w:name="_Toc28359098"/>
      <w:r/>
      <w:bookmarkStart w:id="42" w:name="_Toc35393808"/>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bookmarkEnd w:id="39"/>
      <w:r/>
      <w:bookmarkEnd w:id="40"/>
      <w:r/>
      <w:bookmarkEnd w:id="41"/>
      <w:r/>
      <w:bookmarkEnd w:id="42"/>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项目联系人：田娟、吴皓东</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0512-65200462</w:t>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38"/>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spacing w:line="348" w:lineRule="auto"/>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spacing w:line="348" w:lineRule="auto"/>
        <w:rPr>
          <w:rFonts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第二章磋商供应商须知</w:t>
      </w:r>
      <w:bookmarkEnd w:id="5"/>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48"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1总则</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1.1响应单位资格要求</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1.1.1详见采购公告中。</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1.1.2响应单位不得存在下列情形之一：</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为本项目提供整体设计、规范编制或者项目管理、监理、监测等服务的供应商（或在本项目服务期内为苏州工业园区环卫信息化监管系统提供运维或为苏州市环卫作业质量第三方测评的供应商，及与上述供应商单位负责人为同一人、或者互相存在直接控股、管理关系的供应商），不得再参加该采购项目及其他相关的采购活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（3）单位负责人为同一人或者存在直接控股、管理关系的不同供应商，不得参加同一合同项下的政府采购活动。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1.1.3联合体投标：第一章竞争性磋商公告规定接受联合体投标的，联合体除应符合上述资格要求外，还应遵守以下规定：</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（1）联合体各方应当向采购人提交联合体协议书，载明联合体各方承担的工作和义务，否则投标无效。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（2）联合体中有同类资质的供应商按照联合体分工承担相同工作的，应当按照资质等级较低的供应商确定资质等级。</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（4）联合体各方应当共同与采购人签订采购合同，就采购合同约定的事项对采购人承担连带责任。</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1.2分包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本项目☑不允许分包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□允许分包，分包要求：</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1.3磋商费用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1.3.1供应商应自行承担所有准备及参加磋商的相关费用。不论磋商结果如何，采购人及采购代理机构在任何情况下均无义务也无责任承担这些费用。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1.3.2本次磋商项目由苏州华星工程造价咨询有限公司代理，不收取磋商文件费用。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1.3.3代理服务费：详见前附表。</w:t>
      </w:r>
      <w:r/>
    </w:p>
    <w:p>
      <w:pPr>
        <w:ind w:firstLine="412"/>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服务费交纳账户：苏州华星工程造价咨询有限公司</w:t>
      </w:r>
      <w:r/>
    </w:p>
    <w:p>
      <w:pPr>
        <w:ind w:firstLine="412"/>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开户行：中行东环路支行</w:t>
      </w:r>
      <w:r/>
    </w:p>
    <w:p>
      <w:pPr>
        <w:ind w:firstLine="412"/>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账户：520958193351</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1.4保密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参与采购活动的各方应对采购文件和响应文件中的商业和技术等秘密保密，否则应承担相应的法律责任。</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1.5语言文字</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磋商文件响应文件使用的语言文字为中文。使</w:t>
      </w:r>
      <w:bookmarkStart w:id="78" w:name="_GoBack"/>
      <w:r/>
      <w:bookmarkEnd w:id="78"/>
      <w:r>
        <w:rPr>
          <w:rFonts w:hint="eastAsia" w:ascii="宋体" w:hAnsi="宋体" w:eastAsia="宋体" w:cs="宋体"/>
          <w:bCs/>
          <w:color w:val="000000" w:themeColor="text1"/>
          <w:sz w:val="24"/>
          <w:szCs w:val="24"/>
          <w:highlight w:val="none"/>
          <w14:textFill>
            <w14:solidFill>
              <w14:schemeClr w14:val="tx1"/>
            </w14:solidFill>
          </w14:textFill>
        </w:rPr>
        <w:t xml:space="preserve">用外文的，应附有中文注释或译本，对不同文本响应文件的解释发生异议的，以中文文本为准。因未附注释或译本引起的对供应商不利的后果由供应商自行承担。</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1.6计量单位</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除磋商文件有特殊要求外，所有计量均采用中华人民共和国法定计量单位。</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1.7扫描件</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扫描件是指原件的各种彩色复制件，包括扫描、照片等。</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1.8知识产权</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1.9现场踏勘</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供应商可自行对有关现场和周围环境进行踏勘，以获取编制响应文件和签署合同所需的信息，踏勘现场所发生的费用由供应商自己承担。</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1.10集中现场考察</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本项目按以下第</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① </w:t>
      </w:r>
      <w:r>
        <w:rPr>
          <w:rFonts w:hint="eastAsia" w:ascii="宋体" w:hAnsi="宋体" w:eastAsia="宋体" w:cs="宋体"/>
          <w:bCs/>
          <w:color w:val="000000" w:themeColor="text1"/>
          <w:sz w:val="24"/>
          <w:szCs w:val="24"/>
          <w:highlight w:val="none"/>
          <w14:textFill>
            <w14:solidFill>
              <w14:schemeClr w14:val="tx1"/>
            </w14:solidFill>
          </w14:textFill>
        </w:rPr>
        <w:t xml:space="preserve">种方式组织集中现场考察：</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①采购人不组织集中现场考察；</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②采购人组织集中现场考察，请供应商持在“苏采云”系统中下载本项目采购文件的《投标供应商确认函》，按以下时间地点参加集中现场考察：</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集合时间：/年/月/日/时/分（北京时间）；</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集合地点：/。</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联系人：/；联系电话：/。</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请供应商安排好行程，不得迟到。未提供《投标供应商确认函》或迟到者，恕不接待。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（1）根据自身投标需要，供应商可对项目相关情况进行考察，以获取编制响应文件和签署合同所需的信息。考察现场所发生的费用由供应商自己承担。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（5）由于未进行现场考察造成的任何问题由供应商自行承担。</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1.11法律适用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本次采购活动及因本次采购产生的合同受中华人民共和国有关的法律法规制约和保护。</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2磋商文件的说明</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2.1磋商文件的获取</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见第一章竞争性磋商公告</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2.2磋商文件的询问</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供应商在收到磋商文件后，若有问题需要询问，应于下载磋商文件后，可通过前附表或公告中的联系方式及时提出，采购人或采购代理机构将予以解答。</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2.3磋商文件的澄清或修改</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2.3.2为保证供应商有足够时间修正响应文件，或出于其他合理原因，采购代理机构可依法顺延提交首次响应文件截止之日。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2.4磋商文件的约束力</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2.4.1供应商一旦参加本项目采购活动，即被认为接受了本采购文件的规定和约束。</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3响应文件说明</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响应单位应详细阅读磋商文件的全部内容，不按磋商文件的要求提供的响应文件和资料，其风险由响应单位自行承担，并根据有关条款规定，可能导致响应无效。</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3.1磋商保证金：无</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3.2磋商响应文件的组成</w:t>
      </w:r>
      <w:r/>
    </w:p>
    <w:p>
      <w:pPr>
        <w:pStyle w:val="1146"/>
        <w:ind w:left="420"/>
        <w:jc w:val="both"/>
        <w:spacing w:before="0" w:beforeAutospacing="0" w:after="0" w:afterAutospacing="0" w:line="400" w:lineRule="exact"/>
        <w:widowControl w:val="off"/>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3.2.1开标一览表</w:t>
      </w:r>
      <w:r/>
    </w:p>
    <w:p>
      <w:pPr>
        <w:pStyle w:val="1146"/>
        <w:ind w:left="420"/>
        <w:jc w:val="both"/>
        <w:spacing w:before="0" w:beforeAutospacing="0" w:after="0" w:afterAutospacing="0" w:line="400" w:lineRule="exact"/>
        <w:widowControl w:val="off"/>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3.2.2资格性审查文件</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3.2.2.1具有独立承担民事责任的能力证明：包括法人或者其他组织的营业执照等证明文件或自然人身份证明；</w:t>
      </w:r>
      <w:r/>
    </w:p>
    <w:p>
      <w:pPr>
        <w:ind w:firstLine="480"/>
        <w:spacing w:line="360" w:lineRule="auto"/>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3.2.2.2具有良好的商业信誉和健全的财务会计制度证明：</w:t>
      </w:r>
      <w:bookmarkStart w:id="43" w:name="_Hlk92792283"/>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法人</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应提供最近一期财务报告【财务报告必须有会计事务所的盖章及注册会计师的签字盖章且至少包含四表一注（资产负债表、利润表、现金流量表、所有者权益变动表及其附注，执行《小企业会计准则》的小微企业，</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需要提供</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所有者权益变动表</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或</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提供书面说明</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格式见第三章</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）】，其他组织、自然人及成立未满一年的法人应提供银行出具的资信证明；</w:t>
      </w:r>
      <w:bookmarkEnd w:id="43"/>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3.2.2.3具备履行合同所必需的设备和专业技术能力的证明材料：提供承诺函</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或证明材料</w:t>
      </w:r>
      <w:r>
        <w:rPr>
          <w:rFonts w:hint="eastAsia" w:ascii="宋体" w:hAnsi="宋体" w:eastAsia="宋体" w:cs="宋体"/>
          <w:color w:val="000000" w:themeColor="text1"/>
          <w:sz w:val="24"/>
          <w:szCs w:val="24"/>
          <w:highlight w:val="none"/>
          <w14:textFill>
            <w14:solidFill>
              <w14:schemeClr w14:val="tx1"/>
            </w14:solidFill>
          </w14:textFill>
        </w:rPr>
        <w:t xml:space="preserve">(格式自拟）；</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bCs/>
          <w:color w:val="000000" w:themeColor="text1"/>
          <w:sz w:val="24"/>
          <w:szCs w:val="24"/>
          <w:highlight w:val="none"/>
          <w14:textFill>
            <w14:solidFill>
              <w14:schemeClr w14:val="tx1"/>
            </w14:solidFill>
          </w14:textFill>
        </w:rPr>
        <w:t xml:space="preserve">否则不予认可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3.2.2.5参加政府采购活动前三年内，在经营活动中没有重大违法记录的书面声明函（格式见第三章）；</w:t>
      </w:r>
      <w:r/>
    </w:p>
    <w:p>
      <w:pPr>
        <w:ind w:firstLine="480"/>
        <w:spacing w:line="348"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3.2.2.6中小企业声明函（如有）（格式见第三章），</w:t>
      </w:r>
      <w:r>
        <w:rPr>
          <w:rFonts w:hint="eastAsia" w:ascii="宋体" w:hAnsi="宋体" w:eastAsia="宋体" w:cs="宋体"/>
          <w:b/>
          <w:bCs/>
          <w:color w:val="000000" w:themeColor="text1"/>
          <w:sz w:val="24"/>
          <w:szCs w:val="24"/>
          <w:highlight w:val="none"/>
          <w14:textFill>
            <w14:solidFill>
              <w14:schemeClr w14:val="tx1"/>
            </w14:solidFill>
          </w14:textFill>
        </w:rPr>
        <w:t xml:space="preserve">未提供不享受中小企业扶持政策；</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3.2.2.7残疾人福利性单位声明函（如有）（格式见第三章），</w:t>
      </w:r>
      <w:r>
        <w:rPr>
          <w:rFonts w:hint="eastAsia" w:ascii="宋体" w:hAnsi="宋体" w:eastAsia="宋体" w:cs="宋体"/>
          <w:b/>
          <w:bCs/>
          <w:color w:val="000000" w:themeColor="text1"/>
          <w:sz w:val="24"/>
          <w:szCs w:val="24"/>
          <w:highlight w:val="none"/>
          <w14:textFill>
            <w14:solidFill>
              <w14:schemeClr w14:val="tx1"/>
            </w14:solidFill>
          </w14:textFill>
        </w:rPr>
        <w:t xml:space="preserve">未提供视为非残疾人福利性单位，不视同小微企业，不享受残疾人福利性单位政策；</w:t>
      </w:r>
      <w:r/>
    </w:p>
    <w:p>
      <w:pPr>
        <w:ind w:firstLine="480"/>
        <w:spacing w:line="348"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3.2.2.8监狱企业证明文件（如有），由省级以上监狱管理局、戒毒管理局（含新疆生产建设兵团）出具，</w:t>
      </w:r>
      <w:r>
        <w:rPr>
          <w:rFonts w:hint="eastAsia" w:ascii="宋体" w:hAnsi="宋体" w:eastAsia="宋体" w:cs="宋体"/>
          <w:b/>
          <w:bCs/>
          <w:color w:val="000000" w:themeColor="text1"/>
          <w:sz w:val="24"/>
          <w:szCs w:val="24"/>
          <w:highlight w:val="none"/>
          <w14:textFill>
            <w14:solidFill>
              <w14:schemeClr w14:val="tx1"/>
            </w14:solidFill>
          </w14:textFill>
        </w:rPr>
        <w:t xml:space="preserve">未提供视为非监狱企业，不视同小微企业，不享受监狱企业政策；</w:t>
      </w:r>
      <w:r/>
    </w:p>
    <w:p>
      <w:pPr>
        <w:ind w:firstLine="482"/>
        <w:spacing w:line="348"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以上3.2.2.1---3.2.2.5项是资格审查要求必须提供的材料，专门面向中小企业的项目还必须提供3.2.2.6或3.2.2.7或3.2.2.8项资料，否则响应无效。</w:t>
      </w:r>
      <w:r/>
    </w:p>
    <w:p>
      <w:pPr>
        <w:ind w:firstLine="480"/>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3.2.2.9供应商对其提供的产品出具符合要求的《关于符合本国产品标准的声明函》（格式见第三章》）</w:t>
      </w:r>
      <w:bookmarkStart w:id="44" w:name="OLE_LINK11"/>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或财政部会同有关部门规定的有关证明文件的，</w:t>
      </w:r>
      <w:bookmarkEnd w:id="44"/>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将按照评定成交标准享受价格评审优惠政策。</w:t>
      </w:r>
      <w:r/>
    </w:p>
    <w:p>
      <w:pPr>
        <w:pStyle w:val="1146"/>
        <w:ind w:firstLine="482"/>
        <w:jc w:val="both"/>
        <w:spacing w:before="0" w:beforeAutospacing="0" w:after="0" w:afterAutospacing="0" w:line="360" w:lineRule="auto"/>
        <w:widowControl w:val="off"/>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3.2.3符合性审查文件</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3.2.3.1响应函（格式见第三章）；</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3.2.3.2磋商响应报价表（格式见第三章）；</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3.2.3.3《商务和技术要求偏离表》（格式见第三章）；</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3.2.3.4 法人授权委托书（如有授权委托，格式见第三章）或法定代表人身份证；</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w:t>
      </w:r>
      <w:bookmarkStart w:id="45" w:name="_Hlk157941369"/>
      <w:r>
        <w:rPr>
          <w:rFonts w:hint="eastAsia" w:ascii="宋体" w:hAnsi="宋体" w:eastAsia="宋体" w:cs="宋体"/>
          <w:color w:val="000000" w:themeColor="text1"/>
          <w:sz w:val="24"/>
          <w:szCs w:val="24"/>
          <w:highlight w:val="none"/>
          <w14:textFill>
            <w14:solidFill>
              <w14:schemeClr w14:val="tx1"/>
            </w14:solidFill>
          </w14:textFill>
        </w:rPr>
        <w:t xml:space="preserve">5代理人身份证（如有授权委托）</w:t>
      </w:r>
      <w:bookmarkEnd w:id="45"/>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3.2.3.6采购需求中所涉及到的或响应单位认为需加以说明或证明的其他材料、证明；</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3.2.3.7《拟投入项目组人员一览表》、《项目经理情况一览表》（格式见第三章）；</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3.2.3.8《机械化作业人员配备承诺书》》、《项目组办公场所承诺书》、《开设人员工资专户承诺书》、《拟投入自有或租赁“燃油/电动多功能抑尘车”车辆配备一览表》、《投入本项目专用设备承诺书》（格式见第三章）；</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3.2.3.9供应商与其他单位存在控股、管理关系情况表（格式见第三章）；</w:t>
      </w:r>
      <w:r/>
    </w:p>
    <w:p>
      <w:pPr>
        <w:ind w:firstLine="482"/>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3.2.4 综合评审文件</w:t>
      </w:r>
      <w:r>
        <w:rPr>
          <w:rFonts w:hint="eastAsia" w:ascii="宋体" w:hAnsi="宋体" w:eastAsia="宋体" w:cs="宋体"/>
          <w:color w:val="000000" w:themeColor="text1"/>
          <w:sz w:val="24"/>
          <w:szCs w:val="24"/>
          <w:highlight w:val="none"/>
          <w14:textFill>
            <w14:solidFill>
              <w14:schemeClr w14:val="tx1"/>
            </w14:solidFill>
          </w14:textFill>
        </w:rPr>
        <w:t xml:space="preserve">：评分标准中所涉及到的各项方案、业绩及其他材料、证明等。</w:t>
      </w:r>
      <w:r/>
    </w:p>
    <w:p>
      <w:pPr>
        <w:ind w:firstLine="480"/>
        <w:spacing w:line="348"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以上3.2.3.1-3.2.3.4、3.2.3.6-3.2.3.9为符合性审查必须提供的资料，如有授权委托，还必须提供3.2.3.5项材料，否则响应无效。</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注：制作电子投标（响应）文件时请与电子投标（响应）文件制作软件目录一一对应，将相关资料上传至相应模块。</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供应商应保证上传的投标（响应）文件完整、清晰可辨认，若因上传资料过小或模糊不清等无法辨认的都视为该资料未提供。</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响应单位必须保证全部响应资料的真实性，如有虚假或对采购文件所要求说明的情况故意隐瞒或虚报，视为未实质性响应磋商文件，响应无效。</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如供应商响应文件中某些条款不响应磋商文件提出的全部服务内容与要求，须在偏离表中逐条列出，未列出的视同响应。</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bookmarkStart w:id="46" w:name="_Toc291668809"/>
      <w:r>
        <w:rPr>
          <w:rFonts w:hint="eastAsia" w:ascii="宋体" w:hAnsi="宋体" w:eastAsia="宋体" w:cs="宋体"/>
          <w:b/>
          <w:color w:val="000000" w:themeColor="text1"/>
          <w:sz w:val="24"/>
          <w:szCs w:val="24"/>
          <w:highlight w:val="none"/>
          <w14:textFill>
            <w14:solidFill>
              <w14:schemeClr w14:val="tx1"/>
            </w14:solidFill>
          </w14:textFill>
        </w:rPr>
        <w:t xml:space="preserve">3.3响应报价</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3.3.1响应报价应包括完成本采购项目全部内容的一切费用，除非合同条款中另有规定，响应单位所报价格在合同实施期间不因市场变化因素而变动。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3.3.2如果磋商文件要求分标段投标的，则供应商可以根据自身经营许可范围，选择响应其中部分或者全部标段，但各标段应分别计算填写单价和总价。</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3.3.3供应商应对所投项目的全部内容进行报价，只对其中部分内容报价的，其响应无效。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3.3.4一项采购内容只允许一个报价，任何有选择性响应报价的，其响应无效。</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3.3.6除因磋商文件修改导致成本增加外，供应商二次报价超过第一次报价的，其响应文件按无效文件处理。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3.3.7报价的大写金额和小写金额不一致的，以大写金额为准。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3.3.8单价金额小数点或者百分比有明显错位的，以该次报价总价为准。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3.3.9总价金额与按单价汇总金额不一致的，以单价金额计算结果为准。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3.3.10响应文件报价中的单价和总价全部采用人民币表示，除非另有规定。</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3.4电子投标（响应）文件的编制与递交</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3.4.3 响应文件未按照磋商文件要求加盖CA电子公章的，响应无效。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3.4.4联合体投标：如招标（采购）公告中允许联合体投标，联合体投标的投标（响应）文件制作上传操作如下：</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第一步：在投标（响应）文件中上传联合体投标协议书。</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第二步；在投标（响应）文件中，由联合体中的牵头人制作投标（响应）文件。</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3.4.5如投标（响应）文件制作机器码信息一致，视为不同投标供应商使用同一台电脑编制投标（响应）文件，投标（响应）无效。</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3.5响应文件开启（解密）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3.5.1线上参加（观看）开标（开启）会方式：登录“苏采云”系统，点击“开标大厅”，选择对应项目，点击进入不见面开标系统。</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3.5.3供应商在“苏采云”系统规定的时间内未成功解密电子响应文件的，响应无效。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3.6技术支持</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3.6.1CA技术咨询服务电话：400-608-6099</w:t>
      </w:r>
      <w:r/>
    </w:p>
    <w:p>
      <w:pPr>
        <w:ind w:firstLine="420"/>
        <w:jc w:val="left"/>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电子签章技术咨询服务电话：15380932027、15371015030 、13675197356、 13675197221 </w:t>
      </w:r>
      <w:r/>
    </w:p>
    <w:p>
      <w:pPr>
        <w:ind w:firstLine="420"/>
        <w:jc w:val="left"/>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苏州市及区县“苏采云”系统客服热线：18261002950、0512-69820854、0519-86722802</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3.6.2网络中断故障技术支持：园区公共资源交易中心</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服务时间及方式：8:00-21:00 X7天</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0512-66605052；手机： 17315885859</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3.7响应文件的修改和撤回</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4磋商程序</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4.1磋商小组</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4.1.2磋商小组与参加采购活动的供应商存在下列利害关系之一的，应当回避:</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(二)与供应商的法定代表人或者负责人有夫妻、直系血亲、三代以内旁系血亲或者近姻亲关系;</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(三)与供应商有其他可能影响政府采购活动公平、公正进行的关系。</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4.1.4磋商小组成员应当按照客观、公正、审慎的原则，根据磋商文件规定的评审程序、评审方法和评审标准进行独立评审。</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4.2响应文件审查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4.2.1由磋商小组按磋商文件的资格条件进行资格性审查，未通过资格性审查的响应无效。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（1）查询时间：响应文件递交截止时间。</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（2）查询渠道：通过“信用中国”、“信用江苏”及“中国政府采购网” 上的信用信息查询供应商的信用记录。</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查询证据留存方式：对存在失信信息的供应商，磋商小组应填写《苏州市级政府采购供应商失信信息确认函》，由失信供应商签名（章）确认。同时，采购代理机构工作人员应根据磋商小组确认的失信信息，登陆到来源网站页面进行复核并打印，作为证据留存。</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（二）财政部门与法院、工商、税务等部门联合惩戒的失信信息，包括：</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（1）被列入失信被执行人名单；</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（2）被列入重大税收违法案件当事人名单；</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4.3磋商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4.4澄清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4.4.1本项目采用线上澄清。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4.4.3接到磋商小组澄清、说明和更正要求的供应商如未按规定做出澄清、说明和更正，其风险由供应商自行承担。</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4.5最后报价</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4.5.5未在规定时间提交最后报价的，响应文件按无效处理。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4.5.6在规定时间内提交最后报价的供应商少于3家的，项目终止。</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4.5.7如磋商过程中出现本磋商文件未尽事宜，由磋商小组根据政府采购有关法律、法规讨论决定。</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5项目终止</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出现下列情形之一的，采购人或者采购代理机构应当终止竞争性磋商采购活动，发布项目终止公告并说明原因，重新开展采购活动：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5.1、因情况变化，不再符合规定的竞争性磋商采购方式适用情形的；</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5.2、出现影响采购公正的违法、违规行为的；</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5.3、在采购过程中符合竞争要求的供应商或者报价未超过采购预算的供应商不足3家的，但符合《政府采购竞争性磋商采购方式管理暂行办法》第三条第四项的情形除外。</w:t>
      </w:r>
      <w:r/>
    </w:p>
    <w:p>
      <w:pPr>
        <w:ind w:firstLine="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项目终止后，采购代理机构将项目终止的理由告知所有供应商。</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6成交</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6.1磋商小组应当根据综合评分情况，按照评审得分由高到底顺序推荐成交候选供应商，评审得分相同的，按照最后报价由低到高的顺序推荐，评审得分且最后报价相同的，按照技术指标优劣顺序推荐。</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6.2磋商小组根据磋商成交原则确定成交供应商。</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6.3采购人或者采购代理机构应当在成交供应商确定后2个工作日内，在政府采购信息媒体上发布成交结果，成交公告期限为1个工作日。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6.4采购人或采购代理机构根据相关规定发布成交公告，成交公告发出的同时应当向</w:t>
      </w:r>
      <w:r>
        <w:rPr>
          <w:rFonts w:hint="eastAsia" w:ascii="宋体" w:hAnsi="宋体" w:eastAsia="宋体" w:cs="宋体"/>
          <w:bCs/>
          <w:color w:val="000000" w:themeColor="text1"/>
          <w:sz w:val="24"/>
          <w:szCs w:val="24"/>
          <w:highlight w:val="none"/>
          <w14:textFill>
            <w14:solidFill>
              <w14:schemeClr w14:val="tx1"/>
            </w14:solidFill>
          </w14:textFill>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6.5成交通知书发出后，采购人不得违法改变成交结果，成交供应商无正当理由不得放弃成交。</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7履约保证金</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7.1成交单位应按前附表的规定提交履约保证金。 </w:t>
      </w:r>
      <w:r/>
    </w:p>
    <w:p>
      <w:pPr>
        <w:ind w:firstLine="42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7.2</w:t>
      </w:r>
      <w:r>
        <w:rPr>
          <w:rFonts w:hint="eastAsia" w:ascii="宋体" w:hAnsi="宋体" w:eastAsia="宋体" w:cs="宋体"/>
          <w:b w:val="0"/>
          <w:bCs/>
          <w:color w:val="000000" w:themeColor="text1"/>
          <w:sz w:val="24"/>
          <w:szCs w:val="24"/>
          <w:highlight w:val="none"/>
          <w14:textFill>
            <w14:solidFill>
              <w14:schemeClr w14:val="tx1"/>
            </w14:solidFill>
          </w14:textFill>
        </w:rPr>
        <w:t xml:space="preserve">在合同签订前，成交单位</w:t>
      </w:r>
      <w:r>
        <w:rPr>
          <w:rFonts w:hint="eastAsia" w:ascii="宋体" w:hAnsi="宋体" w:eastAsia="宋体" w:cs="宋体"/>
          <w:bCs/>
          <w:color w:val="000000" w:themeColor="text1"/>
          <w:sz w:val="24"/>
          <w:szCs w:val="24"/>
          <w:highlight w:val="none"/>
          <w14:textFill>
            <w14:solidFill>
              <w14:schemeClr w14:val="tx1"/>
            </w14:solidFill>
          </w14:textFill>
        </w:rPr>
        <w:t xml:space="preserve">（联合体形式成交）的，须为联合体的牵头人）</w:t>
      </w:r>
      <w:r>
        <w:rPr>
          <w:rFonts w:hint="eastAsia" w:ascii="宋体" w:hAnsi="宋体" w:eastAsia="宋体" w:cs="宋体"/>
          <w:b w:val="0"/>
          <w:bCs/>
          <w:color w:val="000000" w:themeColor="text1"/>
          <w:sz w:val="24"/>
          <w:szCs w:val="24"/>
          <w:highlight w:val="none"/>
          <w14:textFill>
            <w14:solidFill>
              <w14:schemeClr w14:val="tx1"/>
            </w14:solidFill>
          </w14:textFill>
        </w:rPr>
        <w:t xml:space="preserve">应当以支票、汇票、本票或者金融机构、担保机构出具的保函等非现金形式提交履约保证金。</w:t>
      </w:r>
      <w:r>
        <w:rPr>
          <w:rFonts w:hint="eastAsia" w:ascii="宋体" w:hAnsi="宋体" w:eastAsia="宋体" w:cs="宋体"/>
          <w:bCs/>
          <w:color w:val="000000" w:themeColor="text1"/>
          <w:sz w:val="24"/>
          <w:szCs w:val="24"/>
          <w:highlight w:val="none"/>
          <w14:textFill>
            <w14:solidFill>
              <w14:schemeClr w14:val="tx1"/>
            </w14:solidFill>
          </w14:textFill>
        </w:rPr>
        <w:t xml:space="preserve">如选择转账方式提交履约保证金的，款项转入以下账户：</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账户：苏州工业园区综合行政执法局</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开户行：农行苏州工业园区支行营业部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账号：105501010401324740001900102</w:t>
      </w:r>
      <w:r/>
    </w:p>
    <w:p>
      <w:pPr>
        <w:ind w:firstLine="420"/>
        <w:jc w:val="left"/>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7.3</w:t>
      </w:r>
      <w:r>
        <w:rPr>
          <w:rFonts w:hint="eastAsia" w:ascii="宋体" w:hAnsi="宋体" w:eastAsia="宋体" w:cs="宋体"/>
          <w:b w:val="0"/>
          <w:bCs/>
          <w:color w:val="000000" w:themeColor="text1"/>
          <w:sz w:val="24"/>
          <w:szCs w:val="24"/>
          <w:highlight w:val="none"/>
          <w14:textFill>
            <w14:solidFill>
              <w14:schemeClr w14:val="tx1"/>
            </w14:solidFill>
          </w14:textFill>
        </w:rPr>
        <w:t xml:space="preserve">成交单位在合同签订前拒不提交履约保证金的，视为拒绝与采购人签订合同，</w:t>
      </w:r>
      <w:r>
        <w:rPr>
          <w:rFonts w:hint="eastAsia" w:ascii="宋体" w:hAnsi="宋体" w:eastAsia="宋体" w:cs="宋体"/>
          <w:bCs/>
          <w:color w:val="000000" w:themeColor="text1"/>
          <w:sz w:val="24"/>
          <w:szCs w:val="24"/>
          <w:highlight w:val="none"/>
          <w14:textFill>
            <w14:solidFill>
              <w14:schemeClr w14:val="tx1"/>
            </w14:solidFill>
          </w14:textFill>
        </w:rPr>
        <w:t xml:space="preserve">采购人可以按照评审报告推荐的成交候选人名单排序，确定下一候选人为成交单位或者重新开展政府采购活动。</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7.4履约保证金（无息）在服务期满且服务缺陷更正后，成交方配合甲方和新成交单位办理移交手续，由采购方签发《政府采购履约验收书》后退还。如成交方对服务缺陷不予更正，采购方有权另请其他单位更正，所发生的费用在履约保证金中扣除。</w:t>
      </w:r>
      <w:r/>
    </w:p>
    <w:p>
      <w:pPr>
        <w:ind w:firstLine="420"/>
        <w:jc w:val="left"/>
        <w:spacing w:line="400" w:lineRule="exact"/>
        <w:rPr>
          <w:rFonts w:ascii="宋体" w:hAnsi="宋体" w:eastAsia="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7.5根据《关于在全省政府采购领域推行电子履约保函(保险)的通知(苏财购【2023】150号)》规定，中标人可以自愿选择，使用以电子履约保函(保险)形式代替提供履约保证金。中标人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8合同</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9质疑</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9.1质疑及答复遵守《政府采购质疑和投诉办法》（中华人民共和国财政部令第94号）规定。</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9.2供应商认为采购文件、采购过程和采购结果使自己的权益受到损害的，可以在知道或应知其权益受到损害之日起七个工作日内，以书面形式代理机构提出质疑。上述应知其权益受到损害之日，是指：</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①对可以质疑的采购文件提出质疑的，为收到采购文件之日或者采购文件公告期限届满之日；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②对采购过程提出质疑的，为各采购程序环节结束之日；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③对中标或者成交结果提出质疑的，为中标或者成交结果公告期限届满之日。</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9.3供应商应当在法定质疑期内一次性提出针对同一采购程序环节的质疑。供应商如在法定期限内对同一采购程序环节提出多次质疑的，代理机构将只对供应商第一次质疑作出答复。</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9.5供应商（含潜在供应商）</w:t>
      </w:r>
      <w:r>
        <w:rPr>
          <w:rFonts w:hint="eastAsia" w:ascii="宋体" w:hAnsi="宋体" w:eastAsia="宋体" w:cs="宋体"/>
          <w:b/>
          <w:color w:val="000000" w:themeColor="text1"/>
          <w:sz w:val="24"/>
          <w:szCs w:val="24"/>
          <w:highlight w:val="none"/>
          <w14:textFill>
            <w14:solidFill>
              <w14:schemeClr w14:val="tx1"/>
            </w14:solidFill>
          </w14:textFill>
        </w:rPr>
        <w:t xml:space="preserve">询问、质疑请向采购代理机构提出，由采购代理机构负责答复。</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联系单位：苏州华星工程造价咨询有限公司</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联系人、联系电话：田娟  0512-65200462</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通讯地址：苏州工业园区苏雅路388号新天翔商业广场A座12楼1206室</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400" w:lineRule="exact"/>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10未尽事宜</w:t>
      </w:r>
      <w:r/>
    </w:p>
    <w:p>
      <w:pPr>
        <w:ind w:firstLine="420"/>
        <w:spacing w:line="400" w:lineRule="exact"/>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按《中华人民共和国政府采购法》及其他有关法律法规的规定执行。</w:t>
      </w:r>
      <w:r/>
    </w:p>
    <w:p>
      <w:pPr>
        <w:jc w:val="center"/>
        <w:spacing w:line="400" w:lineRule="exact"/>
        <w:rPr>
          <w:rFonts w:eastAsia="黑体"/>
          <w:b/>
          <w:color w:val="000000" w:themeColor="text1"/>
          <w:sz w:val="32"/>
          <w:szCs w:val="32"/>
          <w:highlight w:val="none"/>
          <w14:textFill>
            <w14:solidFill>
              <w14:schemeClr w14:val="tx1"/>
            </w14:solidFill>
          </w14:textFill>
        </w:rPr>
        <w:outlineLvl w:val="0"/>
      </w:pPr>
      <w:r>
        <w:rPr>
          <w:rFonts w:eastAsia="黑体"/>
          <w:b/>
          <w:color w:val="000000" w:themeColor="text1"/>
          <w:sz w:val="32"/>
          <w:szCs w:val="32"/>
          <w:highlight w:val="none"/>
          <w14:textFill>
            <w14:solidFill>
              <w14:schemeClr w14:val="tx1"/>
            </w14:solidFill>
          </w14:textFill>
        </w:rPr>
      </w:r>
      <w:r/>
    </w:p>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1040"/>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ind w:firstLine="1040"/>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0"/>
        <w:ind w:left="520" w:firstLine="1040"/>
        <w:rPr>
          <w:rFonts w:ascii="宋体" w:hAnsi="宋体" w:cs="宋体"/>
          <w:color w:val="000000" w:themeColor="text1"/>
          <w:sz w:val="52"/>
          <w:highlight w:val="none"/>
          <w14:textFill>
            <w14:solidFill>
              <w14:schemeClr w14:val="tx1"/>
            </w14:solidFill>
          </w14:textFill>
        </w:rPr>
      </w:pPr>
      <w:r>
        <w:rPr>
          <w:rFonts w:ascii="宋体" w:hAnsi="宋体" w:cs="宋体"/>
          <w:color w:val="000000" w:themeColor="text1"/>
          <w:sz w:val="52"/>
          <w:highlight w:val="none"/>
          <w14:textFill>
            <w14:solidFill>
              <w14:schemeClr w14:val="tx1"/>
            </w14:solidFill>
          </w14:textFill>
        </w:rPr>
      </w:r>
      <w:r/>
    </w:p>
    <w:p>
      <w:pPr>
        <w:pStyle w:val="1150"/>
        <w:ind w:left="0" w:firstLine="0"/>
        <w:rPr>
          <w:rFonts w:ascii="宋体" w:hAnsi="宋体" w:cs="宋体"/>
          <w:color w:val="000000" w:themeColor="text1"/>
          <w:sz w:val="52"/>
          <w:highlight w:val="none"/>
          <w14:textFill>
            <w14:solidFill>
              <w14:schemeClr w14:val="tx1"/>
            </w14:solidFill>
          </w14:textFill>
        </w:rPr>
      </w:pPr>
      <w:r>
        <w:rPr>
          <w:rFonts w:ascii="宋体" w:hAnsi="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br w:type="page" w:clear="all"/>
      </w:r>
      <w:r/>
    </w:p>
    <w:p>
      <w:pPr>
        <w:pStyle w:val="1121"/>
        <w:ind w:firstLine="1044"/>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21"/>
        <w:ind w:firstLine="1044"/>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21"/>
        <w:ind w:firstLine="1044"/>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21"/>
        <w:ind w:firstLine="1044"/>
        <w:jc w:val="center"/>
        <w:rPr>
          <w:rFonts w:ascii="宋体" w:hAnsi="宋体" w:eastAsia="宋体" w:cs="宋体"/>
          <w:b w:val="0"/>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第三章磋商响应文件格式</w:t>
      </w:r>
      <w:bookmarkEnd w:id="46"/>
      <w:r/>
      <w:r/>
    </w:p>
    <w:p>
      <w:pPr>
        <w:jc w:val="left"/>
        <w:spacing w:line="440" w:lineRule="exact"/>
        <w:rPr>
          <w:rFonts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说明：</w:t>
      </w:r>
      <w:r/>
    </w:p>
    <w:p>
      <w:pPr>
        <w:pStyle w:val="1219"/>
        <w:ind w:firstLine="422"/>
        <w:rPr>
          <w:rFonts w:cs="宋体"/>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 xml:space="preserve">对本章所有的响应文件格式，除注明允许修改的文件外，供应商均应按照本章提供的格式填写，否则作为无效标。允许修改的文件，供应商可根据自身情况进行补充和修改，但补充和修改不得造成与原格式内容有实质性的违背</w:t>
      </w:r>
      <w:r>
        <w:rPr>
          <w:rFonts w:hint="eastAsia" w:cs="宋体"/>
          <w:color w:val="000000" w:themeColor="text1"/>
          <w:sz w:val="21"/>
          <w:szCs w:val="21"/>
          <w:highlight w:val="none"/>
          <w14:textFill>
            <w14:solidFill>
              <w14:schemeClr w14:val="tx1"/>
            </w14:solidFill>
          </w14:textFill>
        </w:rPr>
        <w:t xml:space="preserve">。</w:t>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0"/>
        <w:jc w:val="both"/>
        <w:spacing w:line="360" w:lineRule="auto"/>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1、（供应方）法定代表人授权委托书</w:t>
      </w:r>
      <w:r/>
    </w:p>
    <w:p>
      <w:pPr>
        <w:pStyle w:val="1146"/>
        <w:ind w:firstLine="482"/>
        <w:jc w:val="center"/>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spacing w:line="360" w:lineRule="auto"/>
        <w:rPr>
          <w:rFonts w:ascii="宋体" w:hAnsi="宋体" w:eastAsia="宋体"/>
          <w:color w:val="000000" w:themeColor="text1"/>
          <w:sz w:val="24"/>
          <w:highlight w:val="none"/>
          <w14:textFill>
            <w14:solidFill>
              <w14:schemeClr w14:val="tx1"/>
            </w14:solidFill>
          </w14:textFill>
        </w:rPr>
      </w:pPr>
      <w:r/>
      <w:bookmarkStart w:id="47" w:name="_Hlk117242496"/>
      <w:r>
        <w:rPr>
          <w:rFonts w:hint="eastAsia" w:ascii="宋体" w:hAnsi="宋体" w:eastAsia="宋体"/>
          <w:color w:val="000000" w:themeColor="text1"/>
          <w:sz w:val="24"/>
          <w:highlight w:val="none"/>
          <w14:textFill>
            <w14:solidFill>
              <w14:schemeClr w14:val="tx1"/>
            </w14:solidFill>
          </w14:textFill>
        </w:rPr>
        <w:t xml:space="preserve">本授权委托书声明：我</w:t>
      </w:r>
      <w:r>
        <w:rPr>
          <w:rFonts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（姓名）系</w:t>
      </w:r>
      <w:r>
        <w:rPr>
          <w:rFonts w:hint="eastAsia"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（供应商名称）的法定代表人，现授权委托</w:t>
      </w:r>
      <w:r>
        <w:rPr>
          <w:rFonts w:hint="eastAsia"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（供应商名称）的</w:t>
      </w:r>
      <w:r>
        <w:rPr>
          <w:rFonts w:hint="eastAsia"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 （姓名+手机号码）为本公司代理人，以本公司的名义参加本项目采购代理机构组织实施的编号为</w:t>
      </w:r>
      <w:r>
        <w:rPr>
          <w:rFonts w:hint="eastAsia" w:ascii="宋体" w:hAnsi="宋体" w:eastAsia="宋体"/>
          <w:color w:val="000000" w:themeColor="text1"/>
          <w:sz w:val="24"/>
          <w:highlight w:val="none"/>
          <w:u w:val="single"/>
          <w14:textFill>
            <w14:solidFill>
              <w14:schemeClr w14:val="tx1"/>
            </w14:solidFill>
          </w14:textFill>
        </w:rPr>
        <w:t xml:space="preserve">        </w:t>
      </w:r>
      <w:r>
        <w:rPr>
          <w:rFonts w:hint="eastAsia" w:ascii="宋体" w:hAnsi="宋体" w:eastAsia="宋体"/>
          <w:color w:val="000000" w:themeColor="text1"/>
          <w:sz w:val="24"/>
          <w:highlight w:val="none"/>
          <w14:textFill>
            <w14:solidFill>
              <w14:schemeClr w14:val="tx1"/>
            </w14:solidFill>
          </w14:textFill>
        </w:rPr>
        <w:t xml:space="preserve">号的招标活动。代理人在开标、评标、合同招标过程中所签署的一切文件和处理与这有关的一切事务，我均予以承认。</w:t>
      </w:r>
      <w:r/>
    </w:p>
    <w:p>
      <w:pPr>
        <w:ind w:firstLine="480"/>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代理人在授权委托书有效期内签署的所有文件不因授权委托的撤销而失效，除非有撤销授权委托的书面通知，本授权委托书自投标</w:t>
      </w:r>
      <w:r>
        <w:rPr>
          <w:rFonts w:ascii="宋体" w:hAnsi="宋体" w:eastAsia="宋体"/>
          <w:color w:val="000000" w:themeColor="text1"/>
          <w:sz w:val="24"/>
          <w:highlight w:val="none"/>
          <w14:textFill>
            <w14:solidFill>
              <w14:schemeClr w14:val="tx1"/>
            </w14:solidFill>
          </w14:textFill>
        </w:rPr>
        <w:t xml:space="preserve">之日起</w:t>
      </w:r>
      <w:r>
        <w:rPr>
          <w:rFonts w:hint="eastAsia" w:ascii="宋体" w:hAnsi="宋体" w:eastAsia="宋体"/>
          <w:color w:val="000000" w:themeColor="text1"/>
          <w:sz w:val="24"/>
          <w:highlight w:val="none"/>
          <w14:textFill>
            <w14:solidFill>
              <w14:schemeClr w14:val="tx1"/>
            </w14:solidFill>
          </w14:textFill>
        </w:rPr>
        <w:t xml:space="preserve">至合同履行完毕止。</w:t>
      </w:r>
      <w:r/>
    </w:p>
    <w:p>
      <w:pPr>
        <w:ind w:firstLine="480"/>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代理人无转委托权。特此委托。</w:t>
      </w:r>
      <w:bookmarkEnd w:id="47"/>
      <w:r/>
      <w:r/>
    </w:p>
    <w:p>
      <w:pPr>
        <w:ind w:firstLine="480"/>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firstLine="520"/>
        <w:jc w:val="left"/>
        <w:widowControl/>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0"/>
        <w:spacing w:line="380" w:lineRule="exact"/>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2、响应函</w:t>
      </w:r>
      <w:r/>
    </w:p>
    <w:p>
      <w:pPr>
        <w:pStyle w:val="1135"/>
        <w:ind w:firstLine="482"/>
        <w:jc w:val="center"/>
        <w:spacing w:line="380" w:lineRule="exact"/>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响应函</w:t>
      </w:r>
      <w:r/>
    </w:p>
    <w:p>
      <w:pPr>
        <w:ind w:left="478"/>
        <w:spacing w:line="400" w:lineRule="exact"/>
        <w:rPr>
          <w:rFonts w:hint="eastAsia" w:ascii="宋体" w:hAnsi="宋体" w:eastAsia="宋体" w:cs="宋体"/>
          <w:b w:val="0"/>
          <w:bCs/>
          <w:color w:val="000000" w:themeColor="text1"/>
          <w:sz w:val="24"/>
          <w:szCs w:val="24"/>
          <w:highlight w:val="none"/>
          <w:u w:val="single"/>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苏州华星工程造价咨询有限公司</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p>
    <w:p>
      <w:pPr>
        <w:ind w:left="478"/>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本公司收到贵司</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号招标文件，经仔细阅读和研究，本公司决定参加投标。</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我们愿意按照招标文件的一切要求，提供完成该项目的全部内容，我们的投标报价包括完成该标段所有服务管理内容所需的人工、机械设备、工具器具、耗材、通讯、服装、胸卡、办公设备、巡检器材、保险、劳保、防疫、第十三个月工资、春节慰问金、高温费、防暑降温物品费用、环卫信息化费用</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代理费</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维护、技术支持与培训及相关劳务支出等工作所发生的全部费用以及投标人企业管理费、利润、各种税金和政策性文件规定及合同包含的所有风险、责任等各项应有费用。标段服务范围内有重大活动举行时的人员、车辆（设备）增派等可能产生的费用，均包含在合同价款中，不再另行结算。</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2、如果本公司的投标文件被接受，本公司将严格履行招标文件中规定的每一项要求，按期、按质、按量履行合同的义务。</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3、本公司已详细审查全部招标文件，包括补充文件（更正公告）(如有)。本公司完全理解并同意放弃对这方面有不明及误解的权力。</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4、本公司同意按招标文件中的规定，本投标文件的有效期限为投标截止日起</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90</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天。</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5、本公司愿意提供采购人或采购代理机构在招标文件中要求的所有资料。</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本公司声明：本公司在参加本次政府采购活动前3年内在经营活动中没有重大违法记录。</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7、本公司愿意遵守招标公告及招标文件中所列的收费标准。</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8、本公司承诺该项投标在开标后的全过程中保持有效，不作任何更改和变动。</w:t>
      </w:r>
      <w:r/>
    </w:p>
    <w:p>
      <w:pPr>
        <w:ind w:firstLine="482"/>
        <w:spacing w:line="400" w:lineRule="exact"/>
        <w:rPr>
          <w:rFonts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9、本公司同意并接受采购人在招标文件、签约合同以及未来合同履行过程中设定的所有日常考核及综合考核制度，并无条件接受及承担因考核不达标或不合格产生的一切责任及后果。</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10、如果本公司中标，本公司愿意按招标文件规定支付履约保证金和代理服务费。</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11、本公司承诺符合</w:t>
      </w:r>
      <w:r>
        <w:rPr>
          <w:rFonts w:hint="eastAsia" w:ascii="宋体" w:hAnsi="宋体" w:eastAsia="宋体" w:cs="宋体"/>
          <w:color w:val="000000" w:themeColor="text1"/>
          <w:sz w:val="24"/>
          <w:szCs w:val="24"/>
          <w:highlight w:val="none"/>
          <w14:textFill>
            <w14:solidFill>
              <w14:schemeClr w14:val="tx1"/>
            </w14:solidFill>
          </w14:textFill>
        </w:rPr>
        <w:t xml:space="preserve">招标公告中的“申请人的资格要求”</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的要求，若与真实情况不符，本公司愿意承担由此而产生的一切后果。</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12、综合说明：</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（1）伴随服务及配合措施；</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（2）要求甲方提供的配合；</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（3）对招标文件有不同意见的偏离说明；</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（4）其它说明。</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所有有关标书的函电，请按下列地址联系：</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邮政编码：</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ab/>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传真：</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公司电子邮箱：</w:t>
      </w:r>
      <w:r/>
    </w:p>
    <w:p>
      <w:pPr>
        <w:ind w:right="105" w:firstLine="482"/>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05" w:firstLine="482"/>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pStyle w:val="1165"/>
        <w:ind w:left="260"/>
        <w:jc w:val="right"/>
        <w:spacing w:line="360" w:lineRule="exact"/>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br w:type="page" w:clear="all"/>
      </w:r>
      <w:r/>
    </w:p>
    <w:p>
      <w:pPr>
        <w:pStyle w:val="1135"/>
        <w:ind w:firstLine="0"/>
        <w:spacing w:line="380" w:lineRule="exact"/>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3、开标一览表</w:t>
      </w:r>
      <w:r/>
    </w:p>
    <w:p>
      <w:pPr>
        <w:pStyle w:val="1135"/>
        <w:ind w:firstLine="482"/>
        <w:spacing w:line="38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35"/>
        <w:ind w:firstLine="482"/>
        <w:jc w:val="center"/>
        <w:spacing w:line="380" w:lineRule="exact"/>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开标一览表</w:t>
      </w:r>
      <w:r/>
    </w:p>
    <w:tbl>
      <w:tblPr>
        <w:tblStyle w:val="1126"/>
        <w:tblpPr w:horzAnchor="margin" w:tblpXSpec="center" w:vertAnchor="text" w:tblpY="18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24"/>
        <w:gridCol w:w="5281"/>
      </w:tblGrid>
      <w:tr>
        <w:trPr>
          <w:cantSplit/>
          <w:trHeight w:val="613"/>
        </w:trPr>
        <w:tc>
          <w:tcPr>
            <w:tcW w:w="2624" w:type="dxa"/>
            <w:vAlign w:val="center"/>
            <w:textDirection w:val="lrTb"/>
            <w:noWrap w:val="false"/>
          </w:tcPr>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项目名称</w:t>
            </w:r>
            <w:r/>
          </w:p>
        </w:tc>
        <w:tc>
          <w:tcPr>
            <w:tcW w:w="5281" w:type="dxa"/>
            <w:vAlign w:val="center"/>
            <w:textDirection w:val="lrTb"/>
            <w:noWrap w:val="false"/>
          </w:tcPr>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tc>
      </w:tr>
      <w:tr>
        <w:trPr>
          <w:cantSplit/>
          <w:trHeight w:val="469"/>
        </w:trPr>
        <w:tc>
          <w:tcPr>
            <w:tcW w:w="2624" w:type="dxa"/>
            <w:vAlign w:val="center"/>
            <w:vMerge w:val="restart"/>
            <w:textDirection w:val="lrTb"/>
            <w:noWrap w:val="false"/>
          </w:tcPr>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磋商总价</w:t>
            </w:r>
            <w:r/>
          </w:p>
        </w:tc>
        <w:tc>
          <w:tcPr>
            <w:tcW w:w="5281" w:type="dxa"/>
            <w:vAlign w:val="center"/>
            <w:textDirection w:val="lrTb"/>
            <w:noWrap w:val="false"/>
          </w:tcPr>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大写：</w:t>
            </w:r>
            <w:r/>
          </w:p>
        </w:tc>
      </w:tr>
      <w:tr>
        <w:trPr>
          <w:cantSplit/>
          <w:trHeight w:val="469"/>
        </w:trPr>
        <w:tc>
          <w:tcPr>
            <w:tcW w:w="2624" w:type="dxa"/>
            <w:vAlign w:val="center"/>
            <w:vMerge w:val="continue"/>
            <w:textDirection w:val="lrTb"/>
            <w:noWrap w:val="false"/>
          </w:tcPr>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tc>
        <w:tc>
          <w:tcPr>
            <w:tcW w:w="5281" w:type="dxa"/>
            <w:vAlign w:val="center"/>
            <w:textDirection w:val="lrTb"/>
            <w:noWrap w:val="false"/>
          </w:tcPr>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小写：</w:t>
            </w:r>
            <w:r/>
          </w:p>
        </w:tc>
      </w:tr>
    </w:tbl>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ind w:right="105" w:firstLine="482"/>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pStyle w:val="1165"/>
        <w:ind w:left="260"/>
        <w:jc w:val="right"/>
        <w:spacing w:line="360" w:lineRule="exact"/>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日期：　　　年　　月　　日</w:t>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ind w:firstLine="482"/>
        <w:jc w:val="center"/>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br w:type="page" w:clear="all"/>
      </w:r>
      <w:r/>
    </w:p>
    <w:p>
      <w:pPr>
        <w:pStyle w:val="1135"/>
        <w:ind w:firstLine="0"/>
        <w:spacing w:line="400" w:lineRule="exact"/>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4、</w:t>
      </w:r>
      <w:r>
        <w:rPr>
          <w:rFonts w:hint="eastAsia" w:hAnsi="宋体" w:eastAsia="宋体" w:cs="宋体"/>
          <w:b/>
          <w:color w:val="000000" w:themeColor="text1"/>
          <w:sz w:val="24"/>
          <w:szCs w:val="24"/>
          <w:highlight w:val="none"/>
          <w14:textFill>
            <w14:solidFill>
              <w14:schemeClr w14:val="tx1"/>
            </w14:solidFill>
          </w14:textFill>
        </w:rPr>
        <w:t xml:space="preserve">磋商响应报价表</w:t>
      </w:r>
      <w:r/>
    </w:p>
    <w:p>
      <w:pPr>
        <w:pStyle w:val="1165"/>
        <w:ind w:firstLine="482"/>
        <w:spacing w:line="360" w:lineRule="auto"/>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pStyle w:val="1165"/>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jc w:val="center"/>
        <w:spacing w:line="360" w:lineRule="auto"/>
        <w:rPr>
          <w:rFonts w:ascii="宋体" w:hAnsi="宋体" w:eastAsia="宋体"/>
          <w:color w:val="000000" w:themeColor="text1"/>
          <w:sz w:val="21"/>
          <w:szCs w:val="21"/>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磋商响应报价表</w:t>
      </w:r>
      <w:r/>
    </w:p>
    <w:tbl>
      <w:tblPr>
        <w:tblStyle w:val="112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28"/>
        <w:gridCol w:w="1797"/>
        <w:gridCol w:w="1448"/>
        <w:gridCol w:w="1582"/>
        <w:gridCol w:w="1257"/>
        <w:gridCol w:w="1276"/>
      </w:tblGrid>
      <w:tr>
        <w:trPr/>
        <w:tc>
          <w:tcPr>
            <w:tcBorders>
              <w:top w:val="single" w:color="auto" w:sz="6" w:space="0"/>
              <w:left w:val="single" w:color="auto" w:sz="6" w:space="0"/>
              <w:right w:val="single" w:color="auto" w:sz="6" w:space="0"/>
            </w:tcBorders>
            <w:tcW w:w="828" w:type="dxa"/>
            <w:vAlign w:val="center"/>
            <w:vMerge w:val="restart"/>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序号</w:t>
            </w:r>
            <w:r/>
          </w:p>
        </w:tc>
        <w:tc>
          <w:tcPr>
            <w:tcBorders>
              <w:top w:val="single" w:color="auto" w:sz="6" w:space="0"/>
              <w:left w:val="single" w:color="auto" w:sz="6" w:space="0"/>
              <w:right w:val="single" w:color="auto" w:sz="4" w:space="0"/>
            </w:tcBorders>
            <w:tcW w:w="1797" w:type="dxa"/>
            <w:vAlign w:val="center"/>
            <w:vMerge w:val="restart"/>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项目</w:t>
            </w:r>
            <w:r/>
          </w:p>
        </w:tc>
        <w:tc>
          <w:tcPr>
            <w:tcBorders>
              <w:top w:val="single" w:color="auto" w:sz="6" w:space="0"/>
              <w:left w:val="single" w:color="auto" w:sz="4" w:space="0"/>
              <w:bottom w:val="single" w:color="auto" w:sz="6" w:space="0"/>
              <w:right w:val="single" w:color="auto" w:sz="4" w:space="0"/>
            </w:tcBorders>
            <w:tcW w:w="1448" w:type="dxa"/>
            <w:vAlign w:val="center"/>
            <w:textDirection w:val="lrTb"/>
            <w:noWrap w:val="false"/>
          </w:tcPr>
          <w:p>
            <w:pPr>
              <w:jc w:val="center"/>
              <w:widowControl/>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月服务费</w:t>
            </w:r>
            <w:r/>
          </w:p>
          <w:p>
            <w:pPr>
              <w:jc w:val="center"/>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（元/月）</w:t>
            </w:r>
            <w:r/>
          </w:p>
        </w:tc>
        <w:tc>
          <w:tcPr>
            <w:tcBorders>
              <w:top w:val="single" w:color="auto" w:sz="6" w:space="0"/>
              <w:left w:val="single" w:color="auto" w:sz="4" w:space="0"/>
              <w:bottom w:val="single" w:color="auto" w:sz="6" w:space="0"/>
              <w:right w:val="single" w:color="auto" w:sz="4" w:space="0"/>
            </w:tcBorders>
            <w:tcW w:w="1582" w:type="dxa"/>
            <w:vAlign w:val="center"/>
            <w:textDirection w:val="lrTb"/>
            <w:noWrap w:val="false"/>
          </w:tcPr>
          <w:p>
            <w:pPr>
              <w:jc w:val="center"/>
              <w:widowControl/>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养护期</w:t>
            </w:r>
            <w:r/>
          </w:p>
          <w:p>
            <w:pPr>
              <w:jc w:val="center"/>
              <w:widowControl/>
              <w:rPr>
                <w:rFonts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（月）</w:t>
            </w:r>
            <w:r/>
          </w:p>
        </w:tc>
        <w:tc>
          <w:tcPr>
            <w:tcBorders>
              <w:top w:val="single" w:color="auto" w:sz="6" w:space="0"/>
              <w:left w:val="single" w:color="auto" w:sz="4" w:space="0"/>
              <w:bottom w:val="single" w:color="auto" w:sz="6" w:space="0"/>
              <w:right w:val="single" w:color="auto" w:sz="6" w:space="0"/>
            </w:tcBorders>
            <w:tcW w:w="1257" w:type="dxa"/>
            <w:vAlign w:val="center"/>
            <w:textDirection w:val="lrTb"/>
            <w:noWrap w:val="false"/>
          </w:tcPr>
          <w:p>
            <w:pPr>
              <w:jc w:val="center"/>
              <w:widowControl/>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合价</w:t>
            </w:r>
            <w:r/>
          </w:p>
          <w:p>
            <w:pPr>
              <w:jc w:val="center"/>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（元）</w:t>
            </w:r>
            <w:r/>
          </w:p>
        </w:tc>
        <w:tc>
          <w:tcPr>
            <w:tcBorders>
              <w:top w:val="single" w:color="auto" w:sz="6" w:space="0"/>
              <w:left w:val="single" w:color="auto" w:sz="6" w:space="0"/>
              <w:right w:val="single" w:color="auto" w:sz="6" w:space="0"/>
            </w:tcBorders>
            <w:tcW w:w="1276" w:type="dxa"/>
            <w:vAlign w:val="center"/>
            <w:vMerge w:val="restart"/>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服务期限</w:t>
            </w:r>
            <w:r/>
          </w:p>
        </w:tc>
      </w:tr>
      <w:tr>
        <w:trPr/>
        <w:tc>
          <w:tcPr>
            <w:tcBorders>
              <w:left w:val="single" w:color="auto" w:sz="6" w:space="0"/>
              <w:bottom w:val="single" w:color="auto" w:sz="6" w:space="0"/>
              <w:right w:val="single" w:color="auto" w:sz="6" w:space="0"/>
            </w:tcBorders>
            <w:tcW w:w="828" w:type="dxa"/>
            <w:vMerge w:val="continue"/>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Borders>
              <w:left w:val="single" w:color="auto" w:sz="6" w:space="0"/>
              <w:bottom w:val="single" w:color="auto" w:sz="6" w:space="0"/>
              <w:right w:val="single" w:color="auto" w:sz="4" w:space="0"/>
            </w:tcBorders>
            <w:tcW w:w="1797" w:type="dxa"/>
            <w:vMerge w:val="continue"/>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448" w:type="dxa"/>
            <w:vAlign w:val="center"/>
            <w:textDirection w:val="lrTb"/>
            <w:noWrap w:val="false"/>
          </w:tcPr>
          <w:p>
            <w:pPr>
              <w:jc w:val="center"/>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A</w:t>
            </w:r>
            <w:r/>
          </w:p>
        </w:tc>
        <w:tc>
          <w:tcPr>
            <w:tcBorders>
              <w:top w:val="single" w:color="auto" w:sz="6" w:space="0"/>
              <w:left w:val="single" w:color="auto" w:sz="4" w:space="0"/>
              <w:bottom w:val="single" w:color="auto" w:sz="6" w:space="0"/>
              <w:right w:val="single" w:color="auto" w:sz="4" w:space="0"/>
            </w:tcBorders>
            <w:tcW w:w="1582" w:type="dxa"/>
            <w:vAlign w:val="center"/>
            <w:textDirection w:val="lrTb"/>
            <w:noWrap w:val="false"/>
          </w:tcPr>
          <w:p>
            <w:pPr>
              <w:jc w:val="center"/>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B</w:t>
            </w:r>
            <w:r/>
          </w:p>
        </w:tc>
        <w:tc>
          <w:tcPr>
            <w:tcBorders>
              <w:top w:val="single" w:color="auto" w:sz="6" w:space="0"/>
              <w:left w:val="single" w:color="auto" w:sz="4" w:space="0"/>
              <w:bottom w:val="single" w:color="auto" w:sz="6" w:space="0"/>
              <w:right w:val="single" w:color="auto" w:sz="6" w:space="0"/>
            </w:tcBorders>
            <w:tcW w:w="1257" w:type="dxa"/>
            <w:vAlign w:val="center"/>
            <w:textDirection w:val="lrTb"/>
            <w:noWrap w:val="false"/>
          </w:tcPr>
          <w:p>
            <w:pPr>
              <w:jc w:val="center"/>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C=A*B</w:t>
            </w:r>
            <w:r/>
          </w:p>
        </w:tc>
        <w:tc>
          <w:tcPr>
            <w:tcBorders>
              <w:left w:val="single" w:color="auto" w:sz="6" w:space="0"/>
              <w:bottom w:val="single" w:color="auto" w:sz="6" w:space="0"/>
              <w:right w:val="single" w:color="auto" w:sz="6" w:space="0"/>
            </w:tcBorders>
            <w:tcW w:w="1276" w:type="dxa"/>
            <w:vMerge w:val="continue"/>
            <w:textDirection w:val="lrTb"/>
            <w:noWrap w:val="false"/>
          </w:tcPr>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tc>
          <w:tcPr>
            <w:tcBorders>
              <w:top w:val="single" w:color="auto" w:sz="6" w:space="0"/>
              <w:left w:val="single" w:color="auto" w:sz="6" w:space="0"/>
              <w:bottom w:val="single" w:color="auto" w:sz="6" w:space="0"/>
              <w:right w:val="single" w:color="auto" w:sz="6" w:space="0"/>
            </w:tcBorders>
            <w:tcW w:w="828" w:type="dxa"/>
            <w:vAlign w:val="center"/>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4" w:space="0"/>
            </w:tcBorders>
            <w:tcW w:w="1797" w:type="dxa"/>
            <w:vAlign w:val="center"/>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448" w:type="dxa"/>
            <w:vAlign w:val="center"/>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1582" w:type="dxa"/>
            <w:vAlign w:val="center"/>
            <w:textDirection w:val="lrTb"/>
            <w:noWrap w:val="false"/>
          </w:tcPr>
          <w:p>
            <w:pPr>
              <w:jc w:val="cente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24</w:t>
            </w:r>
            <w:r/>
          </w:p>
        </w:tc>
        <w:tc>
          <w:tcPr>
            <w:tcBorders>
              <w:top w:val="single" w:color="auto" w:sz="6" w:space="0"/>
              <w:left w:val="single" w:color="auto" w:sz="4" w:space="0"/>
              <w:bottom w:val="single" w:color="auto" w:sz="6" w:space="0"/>
              <w:right w:val="single" w:color="auto" w:sz="6" w:space="0"/>
            </w:tcBorders>
            <w:tcW w:w="1257" w:type="dxa"/>
            <w:textDirection w:val="lrTb"/>
            <w:noWrap w:val="false"/>
          </w:tcPr>
          <w:p>
            <w:pP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276" w:type="dxa"/>
            <w:textDirection w:val="lrTb"/>
            <w:noWrap w:val="false"/>
          </w:tcPr>
          <w:p>
            <w:pPr>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tc>
      </w:tr>
      <w:tr>
        <w:trPr/>
        <w:tc>
          <w:tcPr>
            <w:gridSpan w:val="6"/>
            <w:tcBorders>
              <w:top w:val="none" w:color="000000" w:sz="4" w:space="0"/>
              <w:left w:val="single" w:color="auto" w:sz="6" w:space="0"/>
              <w:bottom w:val="single" w:color="auto" w:sz="6" w:space="0"/>
              <w:right w:val="single" w:color="auto" w:sz="6" w:space="0"/>
            </w:tcBorders>
            <w:tcW w:w="8188" w:type="dxa"/>
            <w:textDirection w:val="lrTb"/>
            <w:noWrap w:val="false"/>
          </w:tcPr>
          <w:p>
            <w:pPr>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磋商总报价（人民币大写）：                   ￥：</w:t>
            </w:r>
            <w:r/>
          </w:p>
        </w:tc>
      </w:tr>
    </w:tbl>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5"/>
        <w:spacing w:line="400" w:lineRule="exact"/>
        <w:rPr>
          <w:rFonts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注： </w:t>
      </w:r>
      <w:r/>
    </w:p>
    <w:p>
      <w:pPr>
        <w:numPr>
          <w:ilvl w:val="0"/>
          <w:numId w:val="1"/>
        </w:numPr>
        <w:ind w:firstLine="420"/>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本表中的报价为综合报价，应包括完成该标段所有服务管理内容所需的人工、机械设备、工具器具、耗材、通讯、服装、胸卡、办公设备、巡检器材、保险、劳保、防疫、第十三个月工资、春节慰问金、高温费、防暑降温物品费用、环卫信息化费用</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代理费</w:t>
      </w:r>
      <w:r>
        <w:rPr>
          <w:rFonts w:hint="eastAsia" w:ascii="宋体" w:hAnsi="宋体" w:eastAsia="宋体" w:cs="宋体"/>
          <w:color w:val="000000" w:themeColor="text1"/>
          <w:sz w:val="21"/>
          <w:szCs w:val="21"/>
          <w:highlight w:val="none"/>
          <w:lang w:bidi="ar"/>
          <w14:textFill>
            <w14:solidFill>
              <w14:schemeClr w14:val="tx1"/>
            </w14:solidFill>
          </w14:textFill>
        </w:rPr>
        <w:t xml:space="preserve">、维护、技术支持与培训及相关劳务支出等工作所发生的全部费用以及投标人企业管理费、利润、各种税金和政策性文件规定及合同包含的所有风险、责任等各项应有费用。标段服务范围内有重大活动举行时的人员、车辆（设备）增派等可能产生的费用，均包含在合同价款中，不再另行结算。</w:t>
      </w:r>
      <w:r/>
    </w:p>
    <w:p>
      <w:pPr>
        <w:numPr>
          <w:ilvl w:val="0"/>
          <w:numId w:val="1"/>
        </w:numPr>
        <w:ind w:firstLine="420"/>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年作业里程为</w:t>
      </w:r>
      <w:r>
        <w:rPr>
          <w:rFonts w:hint="eastAsia" w:ascii="宋体" w:hAnsi="宋体" w:eastAsia="宋体" w:cs="宋体"/>
          <w:color w:val="000000" w:themeColor="text1"/>
          <w:sz w:val="21"/>
          <w:szCs w:val="21"/>
          <w:highlight w:val="none"/>
          <w:lang w:eastAsia="zh-CN" w:bidi="ar"/>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3260</w:t>
      </w:r>
      <w:r>
        <w:rPr>
          <w:rFonts w:ascii="宋体" w:hAnsi="宋体" w:eastAsia="宋体" w:cs="宋体"/>
          <w:color w:val="000000" w:themeColor="text1"/>
          <w:sz w:val="21"/>
          <w:szCs w:val="21"/>
          <w:highlight w:val="none"/>
          <w:lang w:bidi="ar"/>
          <w14:textFill>
            <w14:solidFill>
              <w14:schemeClr w14:val="tx1"/>
            </w14:solidFill>
          </w14:textFill>
        </w:rPr>
        <w:t xml:space="preserve">km</w:t>
      </w:r>
      <w:r>
        <w:rPr>
          <w:rFonts w:hint="eastAsia" w:ascii="宋体" w:hAnsi="宋体" w:eastAsia="宋体" w:cs="宋体"/>
          <w:color w:val="000000" w:themeColor="text1"/>
          <w:sz w:val="21"/>
          <w:szCs w:val="21"/>
          <w:highlight w:val="none"/>
          <w:lang w:bidi="ar"/>
          <w14:textFill>
            <w14:solidFill>
              <w14:schemeClr w14:val="tx1"/>
            </w14:solidFill>
          </w14:textFill>
        </w:rPr>
        <w:t xml:space="preserve">，本表中的项目名称、数量（如有）均为参考，仅作为投标报价的 </w:t>
      </w:r>
      <w:r/>
    </w:p>
    <w:p>
      <w:pPr>
        <w:ind w:firstLine="420"/>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共同基础。 </w:t>
      </w:r>
      <w:r/>
    </w:p>
    <w:p>
      <w:pPr>
        <w:numPr>
          <w:ilvl w:val="0"/>
          <w:numId w:val="1"/>
        </w:numPr>
        <w:ind w:firstLine="420"/>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项目组人员费用综合考虑在投标报价中。 </w:t>
      </w:r>
      <w:r/>
    </w:p>
    <w:p>
      <w:pPr>
        <w:numPr>
          <w:ilvl w:val="0"/>
          <w:numId w:val="1"/>
        </w:numPr>
        <w:ind w:firstLine="420"/>
        <w:spacing w:line="360" w:lineRule="auto"/>
        <w:rPr>
          <w:rFonts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 xml:space="preserve">此表“合计金额”与开标一览表“磋商总价”须保持一致，否则以开标一览表价格为准。</w:t>
      </w:r>
      <w:r/>
    </w:p>
    <w:p>
      <w:pPr>
        <w:numPr>
          <w:ilvl w:val="0"/>
          <w:numId w:val="1"/>
        </w:numPr>
        <w:ind w:firstLine="422"/>
        <w:spacing w:line="360" w:lineRule="auto"/>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单价、合价、合计均须以人民币元表示，各金额均须用小写填写，并保留到小数点后 2 位， </w:t>
      </w:r>
      <w:r/>
    </w:p>
    <w:p>
      <w:pPr>
        <w:numPr>
          <w:ilvl w:val="0"/>
          <w:numId w:val="0"/>
        </w:numPr>
        <w:spacing w:line="360" w:lineRule="auto"/>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第 3 位四舍五入。 </w:t>
      </w:r>
      <w:r/>
    </w:p>
    <w:p>
      <w:pPr>
        <w:numPr>
          <w:ilvl w:val="0"/>
          <w:numId w:val="1"/>
        </w:numPr>
        <w:ind w:firstLine="422"/>
        <w:spacing w:line="360" w:lineRule="auto"/>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上述内容机打录入。 </w:t>
      </w:r>
      <w:r/>
    </w:p>
    <w:p>
      <w:pPr>
        <w:numPr>
          <w:ilvl w:val="0"/>
          <w:numId w:val="1"/>
        </w:numPr>
        <w:ind w:firstLine="422"/>
        <w:spacing w:line="360" w:lineRule="auto"/>
        <w:rPr>
          <w:rFonts w:ascii="宋体" w:hAnsi="宋体" w:eastAsia="宋体" w:cs="宋体"/>
          <w:b/>
          <w:bCs/>
          <w:color w:val="000000" w:themeColor="text1"/>
          <w:sz w:val="21"/>
          <w:szCs w:val="21"/>
          <w:highlight w:val="none"/>
          <w:u w:val="single"/>
          <w:lang w:bidi="ar"/>
          <w14:textFill>
            <w14:solidFill>
              <w14:schemeClr w14:val="tx1"/>
            </w14:solidFill>
          </w14:textFill>
        </w:rPr>
      </w:pPr>
      <w:r>
        <w:rPr>
          <w:rFonts w:hint="eastAsia" w:ascii="宋体" w:hAnsi="宋体" w:eastAsia="宋体" w:cs="宋体"/>
          <w:b/>
          <w:bCs/>
          <w:color w:val="000000" w:themeColor="text1"/>
          <w:sz w:val="21"/>
          <w:szCs w:val="21"/>
          <w:highlight w:val="none"/>
          <w:u w:val="single"/>
          <w:lang w:bidi="ar"/>
          <w14:textFill>
            <w14:solidFill>
              <w14:schemeClr w14:val="tx1"/>
            </w14:solidFill>
          </w14:textFill>
        </w:rPr>
        <w:t xml:space="preserve">未按以上要求填报的，视为未实质性响应，为无效标。</w:t>
      </w:r>
      <w:r/>
    </w:p>
    <w:p>
      <w:pPr>
        <w:pStyle w:val="1165"/>
        <w:spacing w:line="360" w:lineRule="auto"/>
        <w:rPr>
          <w:rFonts w:hAnsi="宋体" w:eastAsia="宋体" w:cs="宋体"/>
          <w:color w:val="000000" w:themeColor="text1"/>
          <w:spacing w:val="-7"/>
          <w:sz w:val="24"/>
          <w:szCs w:val="24"/>
          <w:highlight w:val="none"/>
          <w14:textFill>
            <w14:solidFill>
              <w14:schemeClr w14:val="tx1"/>
            </w14:solidFill>
          </w14:textFill>
        </w:rPr>
      </w:pPr>
      <w:r>
        <w:rPr>
          <w:rFonts w:hAnsi="宋体" w:eastAsia="宋体" w:cs="宋体"/>
          <w:color w:val="000000" w:themeColor="text1"/>
          <w:spacing w:val="-7"/>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jc w:val="left"/>
        <w:spacing w:line="360" w:lineRule="auto"/>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5、参加政府采购活动前三年内，在经营活动中没有重大违法记录声明</w:t>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参加政府采购活动前三年内，在经营活动中没有重大违法记录声明</w:t>
      </w:r>
      <w:r/>
    </w:p>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p>
      <w:pPr>
        <w:spacing w:line="360" w:lineRule="auto"/>
        <w:rPr>
          <w:rFonts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致：</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苏州华星工程造价咨询有限公司</w:t>
      </w:r>
      <w:r>
        <w:rPr>
          <w:rFonts w:hint="eastAsia" w:ascii="宋体" w:hAnsi="宋体" w:eastAsia="宋体" w:cs="宋体"/>
          <w:b w:val="0"/>
          <w:bCs/>
          <w:color w:val="000000" w:themeColor="text1"/>
          <w:spacing w:val="-7"/>
          <w:sz w:val="24"/>
          <w:szCs w:val="24"/>
          <w:highlight w:val="none"/>
          <w:u w:val="single"/>
          <w14:textFill>
            <w14:solidFill>
              <w14:schemeClr w14:val="tx1"/>
            </w14:solidFill>
          </w14:textFill>
        </w:rPr>
        <w:t xml:space="preserve">  </w:t>
      </w:r>
      <w:r/>
    </w:p>
    <w:p>
      <w:pPr>
        <w:pStyle w:val="1150"/>
        <w:ind w:left="520" w:firstLine="452"/>
        <w:widowControl/>
        <w:rPr>
          <w:rFonts w:ascii="宋体" w:hAnsi="宋体" w:cs="宋体"/>
          <w:color w:val="000000" w:themeColor="text1"/>
          <w:spacing w:val="-7"/>
          <w:sz w:val="24"/>
          <w:highlight w:val="none"/>
          <w14:textFill>
            <w14:solidFill>
              <w14:schemeClr w14:val="tx1"/>
            </w14:solidFill>
          </w14:textFill>
        </w:rPr>
      </w:pPr>
      <w:r>
        <w:rPr>
          <w:rFonts w:ascii="宋体" w:hAnsi="宋体" w:cs="宋体"/>
          <w:color w:val="000000" w:themeColor="text1"/>
          <w:spacing w:val="-7"/>
          <w:sz w:val="24"/>
          <w:highlight w:val="none"/>
          <w14:textFill>
            <w14:solidFill>
              <w14:schemeClr w14:val="tx1"/>
            </w14:solidFill>
          </w14:textFill>
        </w:rPr>
      </w:r>
      <w:r/>
    </w:p>
    <w:p>
      <w:pPr>
        <w:ind w:firstLine="420"/>
        <w:spacing w:line="360" w:lineRule="auto"/>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我单位 </w:t>
      </w:r>
      <w:r>
        <w:rPr>
          <w:rFonts w:hint="eastAsia" w:ascii="宋体" w:hAnsi="宋体" w:eastAsia="宋体" w:cs="宋体"/>
          <w:color w:val="000000" w:themeColor="text1"/>
          <w:spacing w:val="-7"/>
          <w:sz w:val="24"/>
          <w:szCs w:val="24"/>
          <w:highlight w:val="none"/>
          <w:u w:val="single"/>
          <w14:textFill>
            <w14:solidFill>
              <w14:schemeClr w14:val="tx1"/>
            </w14:solidFill>
          </w14:textFill>
        </w:rPr>
        <w:t xml:space="preserve">        （供应商名称）         </w:t>
      </w:r>
      <w:r>
        <w:rPr>
          <w:rFonts w:hint="eastAsia" w:ascii="宋体" w:hAnsi="宋体" w:eastAsia="宋体" w:cs="宋体"/>
          <w:color w:val="000000" w:themeColor="text1"/>
          <w:spacing w:val="-7"/>
          <w:sz w:val="24"/>
          <w:szCs w:val="24"/>
          <w:highlight w:val="none"/>
          <w14:textFill>
            <w14:solidFill>
              <w14:schemeClr w14:val="tx1"/>
            </w14:solidFill>
          </w14:textFill>
        </w:rPr>
        <w:t xml:space="preserve">在参加政府采购活动前三年内，没有重大违法记录，特此声明。</w:t>
      </w:r>
      <w:r/>
    </w:p>
    <w:p>
      <w:pPr>
        <w:ind w:firstLine="420"/>
        <w:spacing w:line="360" w:lineRule="auto"/>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若采购代理机构在本项目采购过程中发现我单位近三年内在经营活动中有重大违法记录，我单位将无条件退出本项目的磋商，并承担因此引起的一起后果。</w:t>
      </w:r>
      <w:r/>
    </w:p>
    <w:p>
      <w:pPr>
        <w:ind w:firstLine="420"/>
        <w:spacing w:line="360" w:lineRule="auto"/>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r>
      <w:r/>
    </w:p>
    <w:p>
      <w:pPr>
        <w:ind w:firstLine="452"/>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                                    </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right="1560" w:firstLine="452"/>
        <w:jc w:val="right"/>
        <w:spacing w:line="360" w:lineRule="auto"/>
        <w:tabs>
          <w:tab w:val="left" w:pos="4860" w:leader="none"/>
        </w:tabs>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left"/>
        <w:widowControl/>
        <w:rPr>
          <w:rFonts w:ascii="宋体" w:hAnsi="宋体" w:eastAsia="宋体" w:cs="宋体"/>
          <w:color w:val="000000" w:themeColor="text1"/>
          <w:sz w:val="24"/>
          <w:szCs w:val="21"/>
          <w:highlight w:val="none"/>
          <w14:textFill>
            <w14:solidFill>
              <w14:schemeClr w14:val="tx1"/>
            </w14:solidFill>
          </w14:textFill>
        </w:rPr>
      </w:pPr>
      <w:r>
        <w:rPr>
          <w:rFonts w:ascii="宋体" w:hAnsi="宋体" w:eastAsia="宋体" w:cs="宋体"/>
          <w:color w:val="000000" w:themeColor="text1"/>
          <w:sz w:val="24"/>
          <w:szCs w:val="21"/>
          <w:highlight w:val="none"/>
          <w14:textFill>
            <w14:solidFill>
              <w14:schemeClr w14:val="tx1"/>
            </w14:solidFill>
          </w14:textFill>
        </w:rPr>
      </w:r>
      <w:r/>
    </w:p>
    <w:p>
      <w:pPr>
        <w:ind w:firstLine="482"/>
        <w:spacing w:line="360" w:lineRule="auto"/>
        <w:widowControl/>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w:t>
      </w:r>
      <w:r>
        <w:rPr>
          <w:rFonts w:hint="eastAsia" w:ascii="宋体" w:hAnsi="宋体" w:eastAsia="宋体" w:cs="宋体"/>
          <w:b/>
          <w:color w:val="000000" w:themeColor="text1"/>
          <w:sz w:val="24"/>
          <w:szCs w:val="24"/>
          <w:highlight w:val="none"/>
          <w14:textFill>
            <w14:solidFill>
              <w14:schemeClr w14:val="tx1"/>
            </w14:solidFill>
          </w14:textFill>
        </w:rPr>
        <w:t xml:space="preserve">商务和技术要求偏离表</w:t>
      </w:r>
      <w:r/>
    </w:p>
    <w:p>
      <w:pPr>
        <w:jc w:val="center"/>
        <w:rPr>
          <w:rFonts w:ascii="宋体" w:hAnsi="宋体" w:eastAsia="宋体" w:cs="Arial"/>
          <w:b/>
          <w:color w:val="000000" w:themeColor="text1"/>
          <w:sz w:val="24"/>
          <w:szCs w:val="24"/>
          <w:highlight w:val="none"/>
          <w14:textFill>
            <w14:solidFill>
              <w14:schemeClr w14:val="tx1"/>
            </w14:solidFill>
          </w14:textFill>
        </w:rPr>
      </w:pPr>
      <w:r>
        <w:rPr>
          <w:rFonts w:hint="eastAsia" w:ascii="宋体" w:hAnsi="宋体" w:eastAsia="宋体" w:cs="Arial"/>
          <w:b/>
          <w:color w:val="000000" w:themeColor="text1"/>
          <w:sz w:val="24"/>
          <w:szCs w:val="24"/>
          <w:highlight w:val="none"/>
          <w14:textFill>
            <w14:solidFill>
              <w14:schemeClr w14:val="tx1"/>
            </w14:solidFill>
          </w14:textFill>
        </w:rPr>
        <w:t xml:space="preserve">商务和技术要求偏离表</w:t>
      </w:r>
      <w:r/>
    </w:p>
    <w:p>
      <w:pPr>
        <w:jc w:val="center"/>
        <w:rPr>
          <w:rFonts w:ascii="宋体" w:hAnsi="宋体" w:eastAsia="宋体" w:cs="Arial"/>
          <w:b/>
          <w:color w:val="000000" w:themeColor="text1"/>
          <w:sz w:val="24"/>
          <w:szCs w:val="24"/>
          <w:highlight w:val="none"/>
          <w14:textFill>
            <w14:solidFill>
              <w14:schemeClr w14:val="tx1"/>
            </w14:solidFill>
          </w14:textFill>
        </w:rPr>
      </w:pPr>
      <w:r>
        <w:rPr>
          <w:rFonts w:ascii="宋体" w:hAnsi="宋体" w:eastAsia="宋体" w:cs="Arial"/>
          <w:b/>
          <w:color w:val="000000" w:themeColor="text1"/>
          <w:sz w:val="24"/>
          <w:szCs w:val="24"/>
          <w:highlight w:val="none"/>
          <w14:textFill>
            <w14:solidFill>
              <w14:schemeClr w14:val="tx1"/>
            </w14:solidFill>
          </w14:textFill>
        </w:rPr>
      </w:r>
      <w:r/>
    </w:p>
    <w:tbl>
      <w:tblPr>
        <w:tblStyle w:val="11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t xml:space="preserve">序号</w:t>
            </w:r>
            <w:r/>
          </w:p>
        </w:tc>
        <w:tc>
          <w:tcPr>
            <w:tcW w:w="1292" w:type="dxa"/>
            <w:vAlign w:val="center"/>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t xml:space="preserve">采购内容</w:t>
            </w:r>
            <w:r/>
          </w:p>
        </w:tc>
        <w:tc>
          <w:tcPr>
            <w:tcW w:w="1620" w:type="dxa"/>
            <w:vAlign w:val="center"/>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t xml:space="preserve">招标要求</w:t>
            </w:r>
            <w:r/>
          </w:p>
        </w:tc>
        <w:tc>
          <w:tcPr>
            <w:tcW w:w="1440" w:type="dxa"/>
            <w:vAlign w:val="center"/>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t xml:space="preserve">投标情况</w:t>
            </w:r>
            <w:r/>
          </w:p>
        </w:tc>
        <w:tc>
          <w:tcPr>
            <w:tcW w:w="1699" w:type="dxa"/>
            <w:vAlign w:val="center"/>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t xml:space="preserve">偏离/响应</w:t>
            </w:r>
            <w:r/>
          </w:p>
        </w:tc>
        <w:tc>
          <w:tcPr>
            <w:tcW w:w="1757" w:type="dxa"/>
            <w:vAlign w:val="center"/>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t xml:space="preserve">说明</w:t>
            </w:r>
            <w:r/>
          </w:p>
        </w:tc>
      </w:tr>
      <w:tr>
        <w:trPr>
          <w:jc w:val="center"/>
          <w:trHeight w:val="423"/>
        </w:trPr>
        <w:tc>
          <w:tcPr>
            <w:tcW w:w="828" w:type="dxa"/>
            <w:textDirection w:val="lrTb"/>
            <w:noWrap w:val="false"/>
          </w:tcPr>
          <w:p>
            <w:pPr>
              <w:pStyle w:val="1128"/>
              <w:ind w:firstLine="0"/>
              <w:jc w:val="center"/>
              <w:spacing w:line="400" w:lineRule="exact"/>
              <w:rPr>
                <w:rFonts w:hint="eastAsia" w:ascii="宋体" w:hAnsi="宋体" w:eastAsia="宋体" w:cs="Arial"/>
                <w:color w:val="000000" w:themeColor="text1"/>
                <w:szCs w:val="24"/>
                <w:highlight w:val="none"/>
                <w:lang w:val="en-US" w:eastAsia="zh-CN"/>
                <w14:textFill>
                  <w14:solidFill>
                    <w14:schemeClr w14:val="tx1"/>
                  </w14:solidFill>
                </w14:textFill>
              </w:rPr>
            </w:pPr>
            <w:r>
              <w:rPr>
                <w:rFonts w:hint="eastAsia" w:ascii="宋体" w:hAnsi="宋体" w:eastAsia="宋体" w:cs="Arial"/>
                <w:color w:val="000000" w:themeColor="text1"/>
                <w:szCs w:val="24"/>
                <w:highlight w:val="none"/>
                <w:lang w:val="en-US" w:eastAsia="zh-CN"/>
                <w14:textFill>
                  <w14:solidFill>
                    <w14:schemeClr w14:val="tx1"/>
                  </w14:solidFill>
                </w14:textFill>
              </w:rPr>
              <w:t xml:space="preserve">1</w:t>
            </w:r>
            <w:r/>
          </w:p>
        </w:tc>
        <w:tc>
          <w:tcPr>
            <w:tcW w:w="1292" w:type="dxa"/>
            <w:textDirection w:val="lrTb"/>
            <w:noWrap w:val="false"/>
          </w:tcPr>
          <w:p>
            <w:pPr>
              <w:pStyle w:val="1128"/>
              <w:ind w:firstLine="0"/>
              <w:jc w:val="center"/>
              <w:spacing w:line="400" w:lineRule="exact"/>
              <w:rPr>
                <w:rFonts w:hint="default" w:ascii="宋体" w:hAnsi="宋体" w:eastAsia="宋体" w:cs="Arial"/>
                <w:color w:val="000000" w:themeColor="text1"/>
                <w:szCs w:val="24"/>
                <w:highlight w:val="none"/>
                <w:lang w:val="en-US" w:eastAsia="zh-CN"/>
                <w14:textFill>
                  <w14:solidFill>
                    <w14:schemeClr w14:val="tx1"/>
                  </w14:solidFill>
                </w14:textFill>
              </w:rPr>
            </w:pPr>
            <w:r>
              <w:rPr>
                <w:rFonts w:hint="eastAsia" w:ascii="宋体" w:hAnsi="宋体" w:eastAsia="宋体" w:cs="Arial"/>
                <w:color w:val="000000" w:themeColor="text1"/>
                <w:szCs w:val="24"/>
                <w:highlight w:val="none"/>
                <w:lang w:val="en-US" w:eastAsia="zh-CN"/>
                <w14:textFill>
                  <w14:solidFill>
                    <w14:schemeClr w14:val="tx1"/>
                  </w14:solidFill>
                </w14:textFill>
              </w:rPr>
              <w:t xml:space="preserve">服务期限</w:t>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hint="eastAsia" w:ascii="宋体" w:hAnsi="宋体" w:eastAsia="宋体" w:cs="Arial"/>
                <w:color w:val="000000" w:themeColor="text1"/>
                <w:szCs w:val="24"/>
                <w:highlight w:val="none"/>
                <w:lang w:val="en-US" w:eastAsia="zh-CN"/>
                <w14:textFill>
                  <w14:solidFill>
                    <w14:schemeClr w14:val="tx1"/>
                  </w14:solidFill>
                </w14:textFill>
              </w:rPr>
            </w:pPr>
            <w:r>
              <w:rPr>
                <w:rFonts w:hint="eastAsia" w:ascii="宋体" w:hAnsi="宋体" w:eastAsia="宋体" w:cs="Arial"/>
                <w:color w:val="000000" w:themeColor="text1"/>
                <w:szCs w:val="24"/>
                <w:highlight w:val="none"/>
                <w:lang w:val="en-US" w:eastAsia="zh-CN"/>
                <w14:textFill>
                  <w14:solidFill>
                    <w14:schemeClr w14:val="tx1"/>
                  </w14:solidFill>
                </w14:textFill>
              </w:rPr>
              <w:t xml:space="preserve">2</w:t>
            </w:r>
            <w:r/>
          </w:p>
        </w:tc>
        <w:tc>
          <w:tcPr>
            <w:tcW w:w="1292" w:type="dxa"/>
            <w:textDirection w:val="lrTb"/>
            <w:noWrap w:val="false"/>
          </w:tcPr>
          <w:p>
            <w:pPr>
              <w:pStyle w:val="1128"/>
              <w:ind w:firstLine="0"/>
              <w:jc w:val="center"/>
              <w:spacing w:line="400" w:lineRule="exact"/>
              <w:rPr>
                <w:rFonts w:hint="default" w:ascii="宋体" w:hAnsi="宋体" w:eastAsia="宋体" w:cs="Arial"/>
                <w:color w:val="000000" w:themeColor="text1"/>
                <w:szCs w:val="24"/>
                <w:highlight w:val="none"/>
                <w:lang w:val="en-US" w:eastAsia="zh-CN"/>
                <w14:textFill>
                  <w14:solidFill>
                    <w14:schemeClr w14:val="tx1"/>
                  </w14:solidFill>
                </w14:textFill>
              </w:rPr>
            </w:pPr>
            <w:r>
              <w:rPr>
                <w:rFonts w:hint="eastAsia" w:ascii="宋体" w:hAnsi="宋体" w:eastAsia="宋体" w:cs="Arial"/>
                <w:color w:val="000000" w:themeColor="text1"/>
                <w:szCs w:val="24"/>
                <w:highlight w:val="none"/>
                <w:lang w:val="en-US" w:eastAsia="zh-CN"/>
                <w14:textFill>
                  <w14:solidFill>
                    <w14:schemeClr w14:val="tx1"/>
                  </w14:solidFill>
                </w14:textFill>
              </w:rPr>
              <w:t xml:space="preserve">付款方式</w:t>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hint="default" w:ascii="宋体" w:hAnsi="宋体" w:eastAsia="宋体" w:cs="Arial"/>
                <w:color w:val="000000" w:themeColor="text1"/>
                <w:szCs w:val="24"/>
                <w:highlight w:val="none"/>
                <w:lang w:val="en-US" w:eastAsia="zh-CN"/>
                <w14:textFill>
                  <w14:solidFill>
                    <w14:schemeClr w14:val="tx1"/>
                  </w14:solidFill>
                </w14:textFill>
              </w:rPr>
            </w:pPr>
            <w:r>
              <w:rPr>
                <w:rFonts w:hint="eastAsia" w:ascii="宋体" w:hAnsi="宋体" w:eastAsia="宋体" w:cs="Arial"/>
                <w:color w:val="000000" w:themeColor="text1"/>
                <w:szCs w:val="24"/>
                <w:highlight w:val="none"/>
                <w:lang w:val="en-US" w:eastAsia="zh-CN"/>
                <w14:textFill>
                  <w14:solidFill>
                    <w14:schemeClr w14:val="tx1"/>
                  </w14:solidFill>
                </w14:textFill>
              </w:rPr>
              <w:t xml:space="preserve">...</w:t>
            </w:r>
            <w:r/>
          </w:p>
        </w:tc>
        <w:tc>
          <w:tcPr>
            <w:tcW w:w="1292"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292"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292"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292"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292"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r>
        <w:trPr>
          <w:jc w:val="center"/>
          <w:trHeight w:val="423"/>
        </w:trPr>
        <w:tc>
          <w:tcPr>
            <w:tcW w:w="828"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292"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2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440"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699"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c>
          <w:tcPr>
            <w:tcW w:w="1757" w:type="dxa"/>
            <w:textDirection w:val="lrTb"/>
            <w:noWrap w:val="false"/>
          </w:tcPr>
          <w:p>
            <w:pPr>
              <w:pStyle w:val="1128"/>
              <w:ind w:firstLine="0"/>
              <w:jc w:val="center"/>
              <w:spacing w:line="400" w:lineRule="exact"/>
              <w:rPr>
                <w:rFonts w:ascii="宋体" w:hAnsi="宋体" w:eastAsia="宋体" w:cs="Arial"/>
                <w:color w:val="000000" w:themeColor="text1"/>
                <w:szCs w:val="24"/>
                <w:highlight w:val="none"/>
                <w14:textFill>
                  <w14:solidFill>
                    <w14:schemeClr w14:val="tx1"/>
                  </w14:solidFill>
                </w14:textFill>
              </w:rPr>
            </w:pPr>
            <w:r>
              <w:rPr>
                <w:rFonts w:ascii="宋体" w:hAnsi="宋体" w:eastAsia="宋体" w:cs="Arial"/>
                <w:color w:val="000000" w:themeColor="text1"/>
                <w:szCs w:val="24"/>
                <w:highlight w:val="none"/>
                <w14:textFill>
                  <w14:solidFill>
                    <w14:schemeClr w14:val="tx1"/>
                  </w14:solidFill>
                </w14:textFill>
              </w:rPr>
            </w:r>
            <w:r/>
          </w:p>
        </w:tc>
      </w:tr>
    </w:tbl>
    <w:p>
      <w:pPr>
        <w:pStyle w:val="1135"/>
        <w:ind w:firstLine="480"/>
        <w:spacing w:line="360" w:lineRule="auto"/>
        <w:rPr>
          <w:rFonts w:hAnsi="宋体" w:eastAsia="宋体" w:cs="Arial"/>
          <w:color w:val="000000" w:themeColor="text1"/>
          <w:sz w:val="24"/>
          <w:szCs w:val="24"/>
          <w:highlight w:val="none"/>
          <w14:textFill>
            <w14:solidFill>
              <w14:schemeClr w14:val="tx1"/>
            </w14:solidFill>
          </w14:textFill>
        </w:rPr>
      </w:pPr>
      <w:r>
        <w:rPr>
          <w:rFonts w:hAnsi="宋体" w:eastAsia="宋体" w:cs="Arial"/>
          <w:color w:val="000000" w:themeColor="text1"/>
          <w:sz w:val="24"/>
          <w:szCs w:val="24"/>
          <w:highlight w:val="none"/>
          <w14:textFill>
            <w14:solidFill>
              <w14:schemeClr w14:val="tx1"/>
            </w14:solidFill>
          </w14:textFill>
        </w:rPr>
        <w:t xml:space="preserve">注：1、</w:t>
      </w:r>
      <w:r>
        <w:rPr>
          <w:rFonts w:hint="eastAsia" w:hAnsi="宋体" w:eastAsia="宋体" w:cs="Arial"/>
          <w:color w:val="000000" w:themeColor="text1"/>
          <w:sz w:val="24"/>
          <w:szCs w:val="24"/>
          <w:highlight w:val="none"/>
          <w14:textFill>
            <w14:solidFill>
              <w14:schemeClr w14:val="tx1"/>
            </w14:solidFill>
          </w14:textFill>
        </w:rPr>
        <w:t xml:space="preserve">响应单位</w:t>
      </w:r>
      <w:r>
        <w:rPr>
          <w:rFonts w:hAnsi="宋体" w:eastAsia="宋体" w:cs="Arial"/>
          <w:color w:val="000000" w:themeColor="text1"/>
          <w:sz w:val="24"/>
          <w:szCs w:val="24"/>
          <w:highlight w:val="none"/>
          <w14:textFill>
            <w14:solidFill>
              <w14:schemeClr w14:val="tx1"/>
            </w14:solidFill>
          </w14:textFill>
        </w:rPr>
        <w:t xml:space="preserve">应对照</w:t>
      </w:r>
      <w:r>
        <w:rPr>
          <w:rFonts w:hint="eastAsia" w:hAnsi="宋体" w:eastAsia="宋体" w:cs="Arial"/>
          <w:color w:val="000000" w:themeColor="text1"/>
          <w:sz w:val="24"/>
          <w:szCs w:val="24"/>
          <w:highlight w:val="none"/>
          <w14:textFill>
            <w14:solidFill>
              <w14:schemeClr w14:val="tx1"/>
            </w14:solidFill>
          </w14:textFill>
        </w:rPr>
        <w:t xml:space="preserve">采购</w:t>
      </w:r>
      <w:r>
        <w:rPr>
          <w:rFonts w:hAnsi="宋体" w:eastAsia="宋体" w:cs="Arial"/>
          <w:color w:val="000000" w:themeColor="text1"/>
          <w:sz w:val="24"/>
          <w:szCs w:val="24"/>
          <w:highlight w:val="none"/>
          <w14:textFill>
            <w14:solidFill>
              <w14:schemeClr w14:val="tx1"/>
            </w14:solidFill>
          </w14:textFill>
        </w:rPr>
        <w:t xml:space="preserve">文件要求，</w:t>
      </w:r>
      <w:r>
        <w:rPr>
          <w:rFonts w:hint="eastAsia" w:hAnsi="宋体" w:eastAsia="宋体" w:cs="Arial"/>
          <w:color w:val="000000" w:themeColor="text1"/>
          <w:sz w:val="24"/>
          <w:szCs w:val="24"/>
          <w:highlight w:val="none"/>
          <w14:textFill>
            <w14:solidFill>
              <w14:schemeClr w14:val="tx1"/>
            </w14:solidFill>
          </w14:textFill>
        </w:rPr>
        <w:t xml:space="preserve">响应单位响应情况</w:t>
      </w:r>
      <w:r>
        <w:rPr>
          <w:rFonts w:hAnsi="宋体" w:eastAsia="宋体" w:cs="Arial"/>
          <w:color w:val="000000" w:themeColor="text1"/>
          <w:sz w:val="24"/>
          <w:szCs w:val="24"/>
          <w:highlight w:val="none"/>
          <w14:textFill>
            <w14:solidFill>
              <w14:schemeClr w14:val="tx1"/>
            </w14:solidFill>
          </w14:textFill>
        </w:rPr>
        <w:t xml:space="preserve">与</w:t>
      </w:r>
      <w:r>
        <w:rPr>
          <w:rFonts w:hint="eastAsia" w:hAnsi="宋体" w:eastAsia="宋体" w:cs="Arial"/>
          <w:color w:val="000000" w:themeColor="text1"/>
          <w:sz w:val="24"/>
          <w:szCs w:val="24"/>
          <w:highlight w:val="none"/>
          <w14:textFill>
            <w14:solidFill>
              <w14:schemeClr w14:val="tx1"/>
            </w14:solidFill>
          </w14:textFill>
        </w:rPr>
        <w:t xml:space="preserve">采购</w:t>
      </w:r>
      <w:r>
        <w:rPr>
          <w:rFonts w:hAnsi="宋体" w:eastAsia="宋体" w:cs="Arial"/>
          <w:color w:val="000000" w:themeColor="text1"/>
          <w:sz w:val="24"/>
          <w:szCs w:val="24"/>
          <w:highlight w:val="none"/>
          <w14:textFill>
            <w14:solidFill>
              <w14:schemeClr w14:val="tx1"/>
            </w14:solidFill>
          </w14:textFill>
        </w:rPr>
        <w:t xml:space="preserve">文件的规定有偏离的，应在此表中申明与</w:t>
      </w:r>
      <w:r>
        <w:rPr>
          <w:rFonts w:hint="eastAsia" w:hAnsi="宋体" w:eastAsia="宋体" w:cs="Arial"/>
          <w:color w:val="000000" w:themeColor="text1"/>
          <w:sz w:val="24"/>
          <w:szCs w:val="24"/>
          <w:highlight w:val="none"/>
          <w14:textFill>
            <w14:solidFill>
              <w14:schemeClr w14:val="tx1"/>
            </w14:solidFill>
          </w14:textFill>
        </w:rPr>
        <w:t xml:space="preserve">采购文件</w:t>
      </w:r>
      <w:r>
        <w:rPr>
          <w:rFonts w:hAnsi="宋体" w:eastAsia="宋体" w:cs="Arial"/>
          <w:color w:val="000000" w:themeColor="text1"/>
          <w:sz w:val="24"/>
          <w:szCs w:val="24"/>
          <w:highlight w:val="none"/>
          <w14:textFill>
            <w14:solidFill>
              <w14:schemeClr w14:val="tx1"/>
            </w14:solidFill>
          </w14:textFill>
        </w:rPr>
        <w:t xml:space="preserve">要求条文的偏差和例外。</w:t>
      </w:r>
      <w:r/>
    </w:p>
    <w:p>
      <w:pPr>
        <w:pStyle w:val="1135"/>
        <w:ind w:firstLine="480"/>
        <w:spacing w:line="360" w:lineRule="auto"/>
        <w:rPr>
          <w:rFonts w:hAnsi="宋体" w:eastAsia="宋体" w:cs="Arial"/>
          <w:color w:val="000000" w:themeColor="text1"/>
          <w:sz w:val="24"/>
          <w:szCs w:val="24"/>
          <w:highlight w:val="none"/>
          <w14:textFill>
            <w14:solidFill>
              <w14:schemeClr w14:val="tx1"/>
            </w14:solidFill>
          </w14:textFill>
        </w:rPr>
      </w:pPr>
      <w:r>
        <w:rPr>
          <w:rFonts w:hAnsi="宋体" w:eastAsia="宋体" w:cs="Arial"/>
          <w:color w:val="000000" w:themeColor="text1"/>
          <w:sz w:val="24"/>
          <w:szCs w:val="24"/>
          <w:highlight w:val="none"/>
          <w14:textFill>
            <w14:solidFill>
              <w14:schemeClr w14:val="tx1"/>
            </w14:solidFill>
          </w14:textFill>
        </w:rPr>
        <w:t xml:space="preserve">2、未在上表中说明的，如在</w:t>
      </w:r>
      <w:r>
        <w:rPr>
          <w:rFonts w:hint="eastAsia" w:hAnsi="宋体" w:eastAsia="宋体" w:cs="Arial"/>
          <w:color w:val="000000" w:themeColor="text1"/>
          <w:sz w:val="24"/>
          <w:szCs w:val="24"/>
          <w:highlight w:val="none"/>
          <w14:textFill>
            <w14:solidFill>
              <w14:schemeClr w14:val="tx1"/>
            </w14:solidFill>
          </w14:textFill>
        </w:rPr>
        <w:t xml:space="preserve">响应</w:t>
      </w:r>
      <w:r>
        <w:rPr>
          <w:rFonts w:hAnsi="宋体" w:eastAsia="宋体" w:cs="Arial"/>
          <w:color w:val="000000" w:themeColor="text1"/>
          <w:sz w:val="24"/>
          <w:szCs w:val="24"/>
          <w:highlight w:val="none"/>
          <w14:textFill>
            <w14:solidFill>
              <w14:schemeClr w14:val="tx1"/>
            </w14:solidFill>
          </w14:textFill>
        </w:rPr>
        <w:t xml:space="preserve">文件其他内容中已有文字说明的，则以已有文字说明为准，否则，将被认为完全响应</w:t>
      </w:r>
      <w:r>
        <w:rPr>
          <w:rFonts w:hint="eastAsia" w:hAnsi="宋体" w:eastAsia="宋体" w:cs="Arial"/>
          <w:color w:val="000000" w:themeColor="text1"/>
          <w:sz w:val="24"/>
          <w:szCs w:val="24"/>
          <w:highlight w:val="none"/>
          <w14:textFill>
            <w14:solidFill>
              <w14:schemeClr w14:val="tx1"/>
            </w14:solidFill>
          </w14:textFill>
        </w:rPr>
        <w:t xml:space="preserve">采购</w:t>
      </w:r>
      <w:r>
        <w:rPr>
          <w:rFonts w:hAnsi="宋体" w:eastAsia="宋体" w:cs="Arial"/>
          <w:color w:val="000000" w:themeColor="text1"/>
          <w:sz w:val="24"/>
          <w:szCs w:val="24"/>
          <w:highlight w:val="none"/>
          <w14:textFill>
            <w14:solidFill>
              <w14:schemeClr w14:val="tx1"/>
            </w14:solidFill>
          </w14:textFill>
        </w:rPr>
        <w:t xml:space="preserve">文件的规定。但该表不作为</w:t>
      </w:r>
      <w:r>
        <w:rPr>
          <w:rFonts w:hint="eastAsia" w:hAnsi="宋体" w:eastAsia="宋体" w:cs="Arial"/>
          <w:color w:val="000000" w:themeColor="text1"/>
          <w:sz w:val="24"/>
          <w:szCs w:val="24"/>
          <w:highlight w:val="none"/>
          <w14:textFill>
            <w14:solidFill>
              <w14:schemeClr w14:val="tx1"/>
            </w14:solidFill>
          </w14:textFill>
        </w:rPr>
        <w:t xml:space="preserve">响应单位</w:t>
      </w:r>
      <w:r>
        <w:rPr>
          <w:rFonts w:hAnsi="宋体" w:eastAsia="宋体" w:cs="Arial"/>
          <w:color w:val="000000" w:themeColor="text1"/>
          <w:sz w:val="24"/>
          <w:szCs w:val="24"/>
          <w:highlight w:val="none"/>
          <w14:textFill>
            <w14:solidFill>
              <w14:schemeClr w14:val="tx1"/>
            </w14:solidFill>
          </w14:textFill>
        </w:rPr>
        <w:t xml:space="preserve">对所投标的物详细描述和说明的替代。</w:t>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zh-CN"/>
          <w14:textFill>
            <w14:solidFill>
              <w14:schemeClr w14:val="tx1"/>
            </w14:solidFill>
          </w14:textFill>
        </w:rPr>
      </w:pPr>
      <w:r>
        <w:rPr>
          <w:rFonts w:ascii="宋体" w:hAnsi="宋体" w:eastAsia="宋体" w:cs="宋体"/>
          <w:b/>
          <w:bCs/>
          <w:color w:val="000000" w:themeColor="text1"/>
          <w:sz w:val="24"/>
          <w:szCs w:val="21"/>
          <w:highlight w:val="none"/>
          <w:lang w:val="zh-CN"/>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zh-CN"/>
          <w14:textFill>
            <w14:solidFill>
              <w14:schemeClr w14:val="tx1"/>
            </w14:solidFill>
          </w14:textFill>
        </w:rPr>
      </w:pPr>
      <w:r>
        <w:rPr>
          <w:rFonts w:ascii="宋体" w:hAnsi="宋体" w:eastAsia="宋体" w:cs="宋体"/>
          <w:b/>
          <w:bCs/>
          <w:color w:val="000000" w:themeColor="text1"/>
          <w:sz w:val="24"/>
          <w:szCs w:val="21"/>
          <w:highlight w:val="none"/>
          <w:lang w:val="zh-CN"/>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14:textFill>
            <w14:solidFill>
              <w14:schemeClr w14:val="tx1"/>
            </w14:solidFill>
          </w14:textFill>
        </w:rPr>
      </w:pPr>
      <w:r>
        <w:rPr>
          <w:rFonts w:ascii="宋体" w:hAnsi="宋体" w:eastAsia="宋体" w:cs="宋体"/>
          <w:b/>
          <w:bCs/>
          <w:color w:val="000000" w:themeColor="text1"/>
          <w:sz w:val="24"/>
          <w:szCs w:val="21"/>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en-US"/>
          <w14:textFill>
            <w14:solidFill>
              <w14:schemeClr w14:val="tx1"/>
            </w14:solidFill>
          </w14:textFill>
        </w:rPr>
      </w:pPr>
      <w:r>
        <w:rPr>
          <w:rFonts w:ascii="宋体" w:hAnsi="宋体" w:eastAsia="宋体" w:cs="宋体"/>
          <w:b/>
          <w:bCs/>
          <w:color w:val="000000" w:themeColor="text1"/>
          <w:sz w:val="24"/>
          <w:szCs w:val="21"/>
          <w:highlight w:val="none"/>
          <w:lang w:val="en-US"/>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en-US"/>
          <w14:textFill>
            <w14:solidFill>
              <w14:schemeClr w14:val="tx1"/>
            </w14:solidFill>
          </w14:textFill>
        </w:rPr>
      </w:pPr>
      <w:r>
        <w:rPr>
          <w:rFonts w:ascii="宋体" w:hAnsi="宋体" w:eastAsia="宋体" w:cs="宋体"/>
          <w:b/>
          <w:bCs/>
          <w:color w:val="000000" w:themeColor="text1"/>
          <w:sz w:val="24"/>
          <w:szCs w:val="21"/>
          <w:highlight w:val="none"/>
          <w:lang w:val="en-US"/>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en-US"/>
          <w14:textFill>
            <w14:solidFill>
              <w14:schemeClr w14:val="tx1"/>
            </w14:solidFill>
          </w14:textFill>
        </w:rPr>
      </w:pPr>
      <w:r>
        <w:rPr>
          <w:rFonts w:ascii="宋体" w:hAnsi="宋体" w:eastAsia="宋体" w:cs="宋体"/>
          <w:b/>
          <w:bCs/>
          <w:color w:val="000000" w:themeColor="text1"/>
          <w:sz w:val="24"/>
          <w:szCs w:val="21"/>
          <w:highlight w:val="none"/>
          <w:lang w:val="en-US"/>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en-US"/>
          <w14:textFill>
            <w14:solidFill>
              <w14:schemeClr w14:val="tx1"/>
            </w14:solidFill>
          </w14:textFill>
        </w:rPr>
      </w:pPr>
      <w:r>
        <w:rPr>
          <w:rFonts w:ascii="宋体" w:hAnsi="宋体" w:eastAsia="宋体" w:cs="宋体"/>
          <w:b/>
          <w:bCs/>
          <w:color w:val="000000" w:themeColor="text1"/>
          <w:sz w:val="24"/>
          <w:szCs w:val="21"/>
          <w:highlight w:val="none"/>
          <w:lang w:val="en-US"/>
          <w14:textFill>
            <w14:solidFill>
              <w14:schemeClr w14:val="tx1"/>
            </w14:solidFill>
          </w14:textFill>
        </w:rPr>
      </w:r>
      <w:r/>
    </w:p>
    <w:p>
      <w:pPr>
        <w:ind w:firstLine="482"/>
        <w:jc w:val="left"/>
        <w:widowControl/>
        <w:rPr>
          <w:rFonts w:ascii="宋体" w:hAnsi="宋体" w:eastAsia="宋体" w:cs="宋体"/>
          <w:b/>
          <w:bCs/>
          <w:color w:val="000000" w:themeColor="text1"/>
          <w:sz w:val="24"/>
          <w:szCs w:val="21"/>
          <w:highlight w:val="none"/>
          <w:lang w:val="en-US"/>
          <w14:textFill>
            <w14:solidFill>
              <w14:schemeClr w14:val="tx1"/>
            </w14:solidFill>
          </w14:textFill>
        </w:rPr>
      </w:pPr>
      <w:r>
        <w:rPr>
          <w:rFonts w:ascii="宋体" w:hAnsi="宋体" w:eastAsia="宋体" w:cs="宋体"/>
          <w:b/>
          <w:bCs/>
          <w:color w:val="000000" w:themeColor="text1"/>
          <w:sz w:val="24"/>
          <w:szCs w:val="21"/>
          <w:highlight w:val="none"/>
          <w:lang w:val="en-US"/>
          <w14:textFill>
            <w14:solidFill>
              <w14:schemeClr w14:val="tx1"/>
            </w14:solidFill>
          </w14:textFill>
        </w:rPr>
      </w:r>
      <w:r/>
    </w:p>
    <w:p>
      <w:pPr>
        <w:ind w:firstLine="422"/>
        <w:jc w:val="left"/>
        <w:spacing w:line="360" w:lineRule="auto"/>
        <w:widowControl/>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ind w:firstLine="422"/>
        <w:jc w:val="left"/>
        <w:spacing w:line="360" w:lineRule="auto"/>
        <w:widowControl/>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ind w:firstLine="422"/>
        <w:jc w:val="left"/>
        <w:spacing w:line="360" w:lineRule="auto"/>
        <w:widowControl/>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jc w:val="left"/>
        <w:spacing w:line="24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spacing w:line="360" w:lineRule="auto"/>
        <w:rPr>
          <w:rFonts w:ascii="Calibri" w:hAnsi="Calibri"/>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7、</w:t>
      </w:r>
      <w:r>
        <w:rPr>
          <w:rFonts w:hint="eastAsia" w:ascii="宋体" w:hAnsi="宋体" w:eastAsia="宋体"/>
          <w:b/>
          <w:color w:val="000000" w:themeColor="text1"/>
          <w:sz w:val="24"/>
          <w:szCs w:val="21"/>
          <w:highlight w:val="none"/>
          <w14:textFill>
            <w14:solidFill>
              <w14:schemeClr w14:val="tx1"/>
            </w14:solidFill>
          </w14:textFill>
        </w:rPr>
        <w:t xml:space="preserve">拟投入项目组人员一览表</w:t>
      </w:r>
      <w:r/>
    </w:p>
    <w:p>
      <w:pPr>
        <w:jc w:val="center"/>
        <w:spacing w:line="360" w:lineRule="auto"/>
        <w:rPr>
          <w:rFonts w:hint="eastAsia" w:ascii="宋体" w:hAnsi="宋体" w:eastAsia="宋体"/>
          <w:b/>
          <w:color w:val="000000" w:themeColor="text1"/>
          <w:sz w:val="24"/>
          <w:szCs w:val="21"/>
          <w:highlight w:val="none"/>
          <w14:textFill>
            <w14:solidFill>
              <w14:schemeClr w14:val="tx1"/>
            </w14:solidFill>
          </w14:textFill>
        </w:rPr>
      </w:pPr>
      <w:r>
        <w:rPr>
          <w:rFonts w:hint="eastAsia" w:ascii="宋体" w:hAnsi="宋体" w:eastAsia="宋体"/>
          <w:b/>
          <w:color w:val="000000" w:themeColor="text1"/>
          <w:sz w:val="24"/>
          <w:szCs w:val="21"/>
          <w:highlight w:val="none"/>
          <w14:textFill>
            <w14:solidFill>
              <w14:schemeClr w14:val="tx1"/>
            </w14:solidFill>
          </w14:textFill>
        </w:rPr>
      </w:r>
      <w:r/>
    </w:p>
    <w:p>
      <w:pPr>
        <w:jc w:val="center"/>
        <w:spacing w:line="360" w:lineRule="auto"/>
        <w:rPr>
          <w:rFonts w:ascii="Calibri" w:hAnsi="Calibri"/>
          <w:color w:val="000000" w:themeColor="text1"/>
          <w:highlight w:val="none"/>
          <w14:textFill>
            <w14:solidFill>
              <w14:schemeClr w14:val="tx1"/>
            </w14:solidFill>
          </w14:textFill>
        </w:rPr>
      </w:pPr>
      <w:r>
        <w:rPr>
          <w:rFonts w:hint="eastAsia" w:ascii="宋体" w:hAnsi="宋体" w:eastAsia="宋体"/>
          <w:b/>
          <w:color w:val="000000" w:themeColor="text1"/>
          <w:sz w:val="24"/>
          <w:szCs w:val="21"/>
          <w:highlight w:val="none"/>
          <w14:textFill>
            <w14:solidFill>
              <w14:schemeClr w14:val="tx1"/>
            </w14:solidFill>
          </w14:textFill>
        </w:rPr>
        <w:t xml:space="preserve">拟投入项目组人员一览表</w:t>
      </w:r>
      <w:r/>
    </w:p>
    <w:tbl>
      <w:tblPr>
        <w:tblStyle w:val="1126"/>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03"/>
        <w:gridCol w:w="993"/>
        <w:gridCol w:w="1275"/>
        <w:gridCol w:w="709"/>
        <w:gridCol w:w="1282"/>
        <w:gridCol w:w="1313"/>
        <w:gridCol w:w="802"/>
      </w:tblGrid>
      <w:tr>
        <w:trPr>
          <w:jc w:val="center"/>
          <w:trHeight w:val="627"/>
        </w:trPr>
        <w:tc>
          <w:tcPr>
            <w:tcW w:w="675"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序号</w:t>
            </w:r>
            <w:r/>
          </w:p>
        </w:tc>
        <w:tc>
          <w:tcPr>
            <w:tcW w:w="2003"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在本项目中岗位</w:t>
            </w:r>
            <w:r/>
          </w:p>
        </w:tc>
        <w:tc>
          <w:tcPr>
            <w:tcW w:w="993"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姓名</w:t>
            </w:r>
            <w:r/>
          </w:p>
        </w:tc>
        <w:tc>
          <w:tcPr>
            <w:tcW w:w="1275"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身份证号码</w:t>
            </w:r>
            <w:r/>
          </w:p>
        </w:tc>
        <w:tc>
          <w:tcPr>
            <w:tcW w:w="709"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年龄</w:t>
            </w:r>
            <w:r/>
          </w:p>
        </w:tc>
        <w:tc>
          <w:tcPr>
            <w:tcW w:w="1282"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技术职称</w:t>
            </w:r>
            <w:r/>
          </w:p>
        </w:tc>
        <w:tc>
          <w:tcPr>
            <w:tcW w:w="1313"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资格证书</w:t>
            </w:r>
            <w:r/>
          </w:p>
        </w:tc>
        <w:tc>
          <w:tcPr>
            <w:tcW w:w="802" w:type="dxa"/>
            <w:vAlign w:val="center"/>
            <w:textDirection w:val="lrTb"/>
            <w:noWrap w:val="false"/>
          </w:tcPr>
          <w:p>
            <w:pPr>
              <w:jc w:val="center"/>
              <w:spacing w:line="360" w:lineRule="auto"/>
              <w:rPr>
                <w:rFonts w:ascii="宋体" w:hAnsi="宋体" w:eastAsia="宋体" w:cs="宋体"/>
                <w:b/>
                <w:bCs/>
                <w:color w:val="000000" w:themeColor="text1"/>
                <w:szCs w:val="21"/>
                <w:highlight w:val="none"/>
                <w:shd w:val="clear" w:color="auto" w:fill="ffffff"/>
                <w14:textFill>
                  <w14:solidFill>
                    <w14:schemeClr w14:val="tx1"/>
                  </w14:solidFill>
                </w14:textFill>
              </w:rPr>
            </w:pPr>
            <w:r>
              <w:rPr>
                <w:rFonts w:hint="eastAsia" w:ascii="宋体" w:hAnsi="宋体" w:eastAsia="宋体" w:cs="宋体"/>
                <w:b/>
                <w:bCs/>
                <w:color w:val="000000" w:themeColor="text1"/>
                <w:szCs w:val="21"/>
                <w:highlight w:val="none"/>
                <w:shd w:val="clear" w:color="auto" w:fill="ffffff"/>
                <w14:textFill>
                  <w14:solidFill>
                    <w14:schemeClr w14:val="tx1"/>
                  </w14:solidFill>
                </w14:textFill>
              </w:rPr>
              <w:t xml:space="preserve">备注</w:t>
            </w:r>
            <w:r/>
          </w:p>
        </w:tc>
      </w:tr>
      <w:tr>
        <w:trPr>
          <w:jc w:val="center"/>
          <w:trHeight w:val="651"/>
        </w:trPr>
        <w:tc>
          <w:tcPr>
            <w:tcW w:w="675"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hint="eastAsia" w:ascii="宋体" w:hAnsi="宋体" w:eastAsia="宋体"/>
                <w:color w:val="000000" w:themeColor="text1"/>
                <w:szCs w:val="21"/>
                <w:highlight w:val="none"/>
                <w:shd w:val="clear" w:color="auto" w:fill="ffffff"/>
                <w14:textFill>
                  <w14:solidFill>
                    <w14:schemeClr w14:val="tx1"/>
                  </w14:solidFill>
                </w14:textFill>
              </w:rPr>
              <w:t xml:space="preserve">1</w:t>
            </w:r>
            <w:r/>
          </w:p>
        </w:tc>
        <w:tc>
          <w:tcPr>
            <w:tcW w:w="2003"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hint="eastAsia" w:ascii="宋体" w:hAnsi="宋体" w:eastAsia="宋体"/>
                <w:color w:val="000000" w:themeColor="text1"/>
                <w:szCs w:val="21"/>
                <w:highlight w:val="none"/>
                <w:shd w:val="clear" w:color="auto" w:fill="ffffff"/>
                <w14:textFill>
                  <w14:solidFill>
                    <w14:schemeClr w14:val="tx1"/>
                  </w14:solidFill>
                </w14:textFill>
              </w:rPr>
              <w:t xml:space="preserve">项目经理</w:t>
            </w:r>
            <w:r/>
          </w:p>
        </w:tc>
        <w:tc>
          <w:tcPr>
            <w:tcW w:w="993"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1275"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1282"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1313" w:type="dxa"/>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802" w:type="dxa"/>
            <w:vAlign w:val="center"/>
            <w:textDirection w:val="lrTb"/>
            <w:noWrap w:val="false"/>
          </w:tcPr>
          <w:p>
            <w:pP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r>
      <w:tr>
        <w:trPr>
          <w:jc w:val="center"/>
          <w:trHeight w:val="90"/>
        </w:trPr>
        <w:tc>
          <w:tcPr>
            <w:tcW w:w="675"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hint="eastAsia" w:ascii="宋体" w:hAnsi="宋体" w:eastAsia="宋体"/>
                <w:color w:val="000000" w:themeColor="text1"/>
                <w:szCs w:val="21"/>
                <w:highlight w:val="none"/>
                <w:shd w:val="clear" w:color="auto" w:fill="ffffff"/>
                <w14:textFill>
                  <w14:solidFill>
                    <w14:schemeClr w14:val="tx1"/>
                  </w14:solidFill>
                </w14:textFill>
              </w:rPr>
              <w:t xml:space="preserve">2</w:t>
            </w:r>
            <w:r/>
          </w:p>
        </w:tc>
        <w:tc>
          <w:tcPr>
            <w:tcW w:w="2003"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hint="eastAsia" w:ascii="宋体" w:hAnsi="宋体" w:eastAsia="宋体"/>
                <w:color w:val="000000" w:themeColor="text1"/>
                <w:szCs w:val="21"/>
                <w:highlight w:val="none"/>
                <w:shd w:val="clear" w:color="auto" w:fill="ffffff"/>
                <w14:textFill>
                  <w14:solidFill>
                    <w14:schemeClr w14:val="tx1"/>
                  </w14:solidFill>
                </w14:textFill>
              </w:rPr>
              <w:t xml:space="preserve">安全员</w:t>
            </w:r>
            <w:r/>
          </w:p>
        </w:tc>
        <w:tc>
          <w:tcPr>
            <w:tcW w:w="993"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1275"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709"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1282"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1313" w:type="dxa"/>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c>
          <w:tcPr>
            <w:tcW w:w="802" w:type="dxa"/>
            <w:vAlign w:val="center"/>
            <w:textDirection w:val="lrTb"/>
            <w:noWrap w:val="false"/>
          </w:tcPr>
          <w:p>
            <w:pPr>
              <w:jc w:val="center"/>
              <w:spacing w:line="360" w:lineRule="auto"/>
              <w:rPr>
                <w:rFonts w:ascii="宋体" w:hAnsi="宋体" w:eastAsia="宋体"/>
                <w:color w:val="000000" w:themeColor="text1"/>
                <w:szCs w:val="21"/>
                <w:highlight w:val="none"/>
                <w:shd w:val="clear" w:color="auto" w:fill="ffffff"/>
                <w14:textFill>
                  <w14:solidFill>
                    <w14:schemeClr w14:val="tx1"/>
                  </w14:solidFill>
                </w14:textFill>
              </w:rPr>
            </w:pPr>
            <w:r>
              <w:rPr>
                <w:rFonts w:ascii="宋体" w:hAnsi="宋体" w:eastAsia="宋体"/>
                <w:color w:val="000000" w:themeColor="text1"/>
                <w:szCs w:val="21"/>
                <w:highlight w:val="none"/>
                <w:shd w:val="clear" w:color="auto" w:fill="ffffff"/>
                <w14:textFill>
                  <w14:solidFill>
                    <w14:schemeClr w14:val="tx1"/>
                  </w14:solidFill>
                </w14:textFill>
              </w:rPr>
            </w:r>
            <w:r/>
          </w:p>
        </w:tc>
      </w:tr>
    </w:tbl>
    <w:p>
      <w:pPr>
        <w:ind w:firstLine="42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注</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1、本表人员信息为拟投入本项目的项目组人员：项目经理及安全员。</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文件中提供投标人为项目组人员缴纳的近一期的社保证明扫描件（有社保局盖章）和身份证扫描件，项目经理还需提供学历证书扫描件。上述证明材料未提供或提供不完整的视为未实质性响应，为无效标。</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spacing w:after="120"/>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after="120"/>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after="120"/>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56"/>
        <w:ind w:firstLine="482"/>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56"/>
        <w:ind w:firstLine="482"/>
        <w:rPr>
          <w:rFonts w:hAnsi="宋体" w:cs="宋体"/>
          <w:b/>
          <w:color w:val="000000" w:themeColor="text1"/>
          <w:sz w:val="24"/>
          <w:szCs w:val="24"/>
          <w:highlight w:val="none"/>
          <w14:textFill>
            <w14:solidFill>
              <w14:schemeClr w14:val="tx1"/>
            </w14:solidFill>
          </w14:textFill>
        </w:rPr>
      </w:pPr>
      <w:r>
        <w:rPr>
          <w:rFonts w:hAnsi="宋体" w:cs="宋体"/>
          <w:b/>
          <w:color w:val="000000" w:themeColor="text1"/>
          <w:sz w:val="24"/>
          <w:szCs w:val="24"/>
          <w:highlight w:val="none"/>
          <w14:textFill>
            <w14:solidFill>
              <w14:schemeClr w14:val="tx1"/>
            </w14:solidFill>
          </w14:textFill>
        </w:rPr>
      </w:r>
      <w:r/>
    </w:p>
    <w:p>
      <w:pPr>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Theme="majorEastAsia" w:hAnsiTheme="majorEastAsia" w:eastAsiaTheme="majorEastAsia"/>
          <w:b/>
          <w:color w:val="000000" w:themeColor="text1"/>
          <w:sz w:val="24"/>
          <w:szCs w:val="24"/>
          <w:highlight w:val="none"/>
          <w14:textFill>
            <w14:solidFill>
              <w14:schemeClr w14:val="tx1"/>
            </w14:solidFill>
          </w14:textFill>
        </w:rPr>
      </w:pPr>
      <w:r>
        <w:rPr>
          <w:rFonts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asciiTheme="majorEastAsia" w:hAnsiTheme="majorEastAsia" w:eastAsiaTheme="majorEastAsia"/>
          <w:b/>
          <w:color w:val="000000" w:themeColor="text1"/>
          <w:sz w:val="24"/>
          <w:szCs w:val="24"/>
          <w:highlight w:val="none"/>
          <w14:textFill>
            <w14:solidFill>
              <w14:schemeClr w14:val="tx1"/>
            </w14:solidFill>
          </w14:textFill>
        </w:rPr>
      </w:pPr>
      <w:r>
        <w:rPr>
          <w:rFonts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asciiTheme="majorEastAsia" w:hAnsiTheme="majorEastAsia" w:eastAsiaTheme="majorEastAsia"/>
          <w:b/>
          <w:color w:val="000000" w:themeColor="text1"/>
          <w:sz w:val="24"/>
          <w:szCs w:val="24"/>
          <w:highlight w:val="none"/>
          <w14:textFill>
            <w14:solidFill>
              <w14:schemeClr w14:val="tx1"/>
            </w14:solidFill>
          </w14:textFill>
        </w:rPr>
      </w:pPr>
      <w:r>
        <w:rPr>
          <w:rFonts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asciiTheme="majorEastAsia" w:hAnsiTheme="majorEastAsia" w:eastAsiaTheme="majorEastAsia"/>
          <w:b/>
          <w:color w:val="000000" w:themeColor="text1"/>
          <w:sz w:val="24"/>
          <w:szCs w:val="24"/>
          <w:highlight w:val="none"/>
          <w14:textFill>
            <w14:solidFill>
              <w14:schemeClr w14:val="tx1"/>
            </w14:solidFill>
          </w14:textFill>
        </w:rPr>
      </w:pPr>
      <w:r>
        <w:rPr>
          <w:rFonts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asciiTheme="majorEastAsia" w:hAnsiTheme="majorEastAsia" w:eastAsiaTheme="majorEastAsia"/>
          <w:b/>
          <w:color w:val="000000" w:themeColor="text1"/>
          <w:sz w:val="24"/>
          <w:szCs w:val="24"/>
          <w:highlight w:val="none"/>
          <w14:textFill>
            <w14:solidFill>
              <w14:schemeClr w14:val="tx1"/>
            </w14:solidFill>
          </w14:textFill>
        </w:rPr>
      </w:pPr>
      <w:r>
        <w:rPr>
          <w:rFonts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hint="eastAsia" w:asciiTheme="majorEastAsia" w:hAnsiTheme="majorEastAsia" w:eastAsia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hint="eastAsia" w:asciiTheme="majorEastAsia" w:hAnsiTheme="majorEastAsia" w:eastAsia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b/>
          <w:color w:val="000000" w:themeColor="text1"/>
          <w:sz w:val="24"/>
          <w:szCs w:val="24"/>
          <w:highlight w:val="none"/>
          <w14:textFill>
            <w14:solidFill>
              <w14:schemeClr w14:val="tx1"/>
            </w14:solidFill>
          </w14:textFill>
        </w:rPr>
      </w:r>
      <w:r/>
    </w:p>
    <w:p>
      <w:pPr>
        <w:spacing w:line="360" w:lineRule="auto"/>
        <w:rPr>
          <w:rFonts w:asciiTheme="majorEastAsia" w:hAnsiTheme="majorEastAsia" w:eastAsiaTheme="majorEastAsia"/>
          <w:b/>
          <w:color w:val="000000" w:themeColor="text1"/>
          <w:sz w:val="24"/>
          <w:szCs w:val="24"/>
          <w:highlight w:val="none"/>
          <w14:textFill>
            <w14:solidFill>
              <w14:schemeClr w14:val="tx1"/>
            </w14:solidFill>
          </w14:textFill>
        </w:rPr>
      </w:pPr>
      <w:r>
        <w:rPr>
          <w:rFonts w:hint="eastAsia" w:asciiTheme="majorEastAsia" w:hAnsiTheme="majorEastAsia" w:eastAsiaTheme="majorEastAsia"/>
          <w:b/>
          <w:color w:val="000000" w:themeColor="text1"/>
          <w:sz w:val="24"/>
          <w:szCs w:val="24"/>
          <w:highlight w:val="none"/>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ascii="宋体" w:hAnsi="宋体" w:eastAsia="宋体" w:cs="宋体"/>
          <w:b/>
          <w:color w:val="000000" w:themeColor="text1"/>
          <w:sz w:val="24"/>
          <w:szCs w:val="24"/>
          <w:highlight w:val="none"/>
          <w14:textFill>
            <w14:solidFill>
              <w14:schemeClr w14:val="tx1"/>
            </w14:solidFill>
          </w14:textFill>
        </w:rPr>
        <w:t xml:space="preserve">项目</w:t>
      </w:r>
      <w:r>
        <w:rPr>
          <w:rFonts w:hint="eastAsia" w:ascii="宋体" w:hAnsi="宋体" w:eastAsia="宋体" w:cs="宋体"/>
          <w:b/>
          <w:color w:val="000000" w:themeColor="text1"/>
          <w:sz w:val="24"/>
          <w:szCs w:val="24"/>
          <w:highlight w:val="none"/>
          <w14:textFill>
            <w14:solidFill>
              <w14:schemeClr w14:val="tx1"/>
            </w14:solidFill>
          </w14:textFill>
        </w:rPr>
        <w:t xml:space="preserve">经理</w:t>
      </w:r>
      <w:r>
        <w:rPr>
          <w:rFonts w:ascii="宋体" w:hAnsi="宋体" w:eastAsia="宋体" w:cs="宋体"/>
          <w:b/>
          <w:color w:val="000000" w:themeColor="text1"/>
          <w:sz w:val="24"/>
          <w:szCs w:val="24"/>
          <w:highlight w:val="none"/>
          <w14:textFill>
            <w14:solidFill>
              <w14:schemeClr w14:val="tx1"/>
            </w14:solidFill>
          </w14:textFill>
        </w:rPr>
        <w:t xml:space="preserve">情况一览表</w:t>
      </w:r>
      <w:r/>
    </w:p>
    <w:p>
      <w:pPr>
        <w:jc w:val="center"/>
        <w:rPr>
          <w:rFonts w:asciiTheme="majorEastAsia" w:hAnsiTheme="majorEastAsia" w:eastAsiaTheme="majorEastAsia"/>
          <w:b/>
          <w:bCs/>
          <w:color w:val="000000" w:themeColor="text1"/>
          <w:sz w:val="24"/>
          <w:szCs w:val="24"/>
          <w:highlight w:val="none"/>
          <w14:textFill>
            <w14:solidFill>
              <w14:schemeClr w14:val="tx1"/>
            </w14:solidFill>
          </w14:textFill>
        </w:rPr>
      </w:pPr>
      <w:r>
        <w:rPr>
          <w:rFonts w:asciiTheme="majorEastAsia" w:hAnsiTheme="majorEastAsia" w:eastAsiaTheme="majorEastAsia"/>
          <w:b/>
          <w:bCs/>
          <w:color w:val="000000" w:themeColor="text1"/>
          <w:sz w:val="24"/>
          <w:szCs w:val="24"/>
          <w:highlight w:val="none"/>
          <w14:textFill>
            <w14:solidFill>
              <w14:schemeClr w14:val="tx1"/>
            </w14:solidFill>
          </w14:textFill>
        </w:rPr>
      </w:r>
      <w:r/>
    </w:p>
    <w:p>
      <w:pPr>
        <w:pStyle w:val="1128"/>
        <w:ind w:firstLine="0"/>
        <w:jc w:val="center"/>
        <w:spacing w:line="360" w:lineRule="auto"/>
        <w:widowControl/>
        <w:rPr>
          <w:rFonts w:ascii="宋体" w:hAnsi="宋体" w:eastAsia="宋体" w:cs="宋体"/>
          <w:b/>
          <w:color w:val="000000" w:themeColor="text1"/>
          <w:szCs w:val="24"/>
          <w:highlight w:val="none"/>
          <w:lang w:val="zh-CN"/>
          <w14:textFill>
            <w14:solidFill>
              <w14:schemeClr w14:val="tx1"/>
            </w14:solidFill>
          </w14:textFill>
        </w:rPr>
      </w:pPr>
      <w:r>
        <w:rPr>
          <w:rFonts w:hint="eastAsia" w:ascii="宋体" w:hAnsi="宋体" w:eastAsia="宋体" w:cs="宋体"/>
          <w:b/>
          <w:color w:val="000000" w:themeColor="text1"/>
          <w:szCs w:val="24"/>
          <w:highlight w:val="none"/>
          <w:lang w:val="zh-CN"/>
          <w14:textFill>
            <w14:solidFill>
              <w14:schemeClr w14:val="tx1"/>
            </w14:solidFill>
          </w14:textFill>
        </w:rPr>
        <w:t xml:space="preserve">项目</w:t>
      </w:r>
      <w:r>
        <w:rPr>
          <w:rFonts w:hint="eastAsia" w:ascii="宋体" w:hAnsi="宋体" w:eastAsia="宋体" w:cs="宋体"/>
          <w:b/>
          <w:color w:val="000000" w:themeColor="text1"/>
          <w:szCs w:val="24"/>
          <w:highlight w:val="none"/>
          <w14:textFill>
            <w14:solidFill>
              <w14:schemeClr w14:val="tx1"/>
            </w14:solidFill>
          </w14:textFill>
        </w:rPr>
        <w:t xml:space="preserve">经理</w:t>
      </w:r>
      <w:r>
        <w:rPr>
          <w:rFonts w:hint="eastAsia" w:ascii="宋体" w:hAnsi="宋体" w:eastAsia="宋体" w:cs="宋体"/>
          <w:b/>
          <w:color w:val="000000" w:themeColor="text1"/>
          <w:szCs w:val="24"/>
          <w:highlight w:val="none"/>
          <w:lang w:val="zh-CN"/>
          <w14:textFill>
            <w14:solidFill>
              <w14:schemeClr w14:val="tx1"/>
            </w14:solidFill>
          </w14:textFill>
        </w:rPr>
        <w:t xml:space="preserve">情况一览表</w:t>
      </w:r>
      <w:r/>
    </w:p>
    <w:tbl>
      <w:tblPr>
        <w:tblStyle w:val="1126"/>
        <w:tblW w:w="8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554"/>
        <w:gridCol w:w="2128"/>
        <w:gridCol w:w="1265"/>
        <w:gridCol w:w="1473"/>
        <w:gridCol w:w="1479"/>
      </w:tblGrid>
      <w:tr>
        <w:trPr>
          <w:jc w:val="center"/>
          <w:trHeight w:val="823"/>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姓名</w:t>
            </w:r>
            <w:r/>
          </w:p>
        </w:tc>
        <w:tc>
          <w:tcPr>
            <w:shd w:val="clear" w:color="auto" w:fill="auto"/>
            <w:tcBorders>
              <w:top w:val="single" w:color="auto" w:sz="4" w:space="0"/>
              <w:left w:val="single" w:color="auto" w:sz="4" w:space="0"/>
              <w:bottom w:val="single" w:color="auto" w:sz="4" w:space="0"/>
              <w:right w:val="single" w:color="auto" w:sz="4" w:space="0"/>
            </w:tcBorders>
            <w:tcW w:w="2128"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性别</w:t>
            </w:r>
            <w:r/>
          </w:p>
        </w:tc>
        <w:tc>
          <w:tcPr>
            <w:gridSpan w:val="2"/>
            <w:shd w:val="clear" w:color="auto" w:fill="auto"/>
            <w:tcBorders>
              <w:top w:val="single" w:color="auto" w:sz="4" w:space="0"/>
              <w:left w:val="single" w:color="auto" w:sz="4" w:space="0"/>
              <w:bottom w:val="single" w:color="auto" w:sz="4" w:space="0"/>
              <w:right w:val="single" w:color="auto" w:sz="4" w:space="0"/>
            </w:tcBorders>
            <w:tcW w:w="2952"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r>
      <w:tr>
        <w:trPr>
          <w:jc w:val="center"/>
          <w:trHeight w:val="70"/>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身份证号码</w:t>
            </w:r>
            <w:r/>
          </w:p>
        </w:tc>
        <w:tc>
          <w:tcPr>
            <w:gridSpan w:val="2"/>
            <w:shd w:val="clear" w:color="auto" w:fill="auto"/>
            <w:tcBorders>
              <w:top w:val="single" w:color="auto" w:sz="4" w:space="0"/>
              <w:left w:val="single" w:color="auto" w:sz="4" w:space="0"/>
              <w:bottom w:val="single" w:color="auto" w:sz="4" w:space="0"/>
              <w:right w:val="single" w:color="auto" w:sz="4" w:space="0"/>
            </w:tcBorders>
            <w:tcW w:w="3393"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出生年月</w:t>
            </w:r>
            <w:r/>
          </w:p>
        </w:tc>
        <w:tc>
          <w:tcPr>
            <w:shd w:val="clear" w:color="auto" w:fill="auto"/>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ind w:firstLine="240"/>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gridSpan w:val="3"/>
            <w:shd w:val="clear" w:color="auto" w:fill="auto"/>
            <w:tcBorders>
              <w:top w:val="single" w:color="auto" w:sz="4" w:space="0"/>
              <w:left w:val="single" w:color="auto" w:sz="4" w:space="0"/>
              <w:bottom w:val="single" w:color="auto" w:sz="4" w:space="0"/>
              <w:right w:val="single" w:color="auto" w:sz="4" w:space="0"/>
            </w:tcBorders>
            <w:tcW w:w="4947"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tc>
        <w:tc>
          <w:tcPr>
            <w:shd w:val="clear" w:color="auto" w:fill="auto"/>
            <w:tcBorders>
              <w:top w:val="single" w:color="auto" w:sz="4" w:space="0"/>
              <w:left w:val="single" w:color="auto" w:sz="4" w:space="0"/>
              <w:bottom w:val="single" w:color="auto" w:sz="4" w:space="0"/>
              <w:right w:val="single" w:color="auto" w:sz="4" w:space="0"/>
            </w:tcBorders>
            <w:tcW w:w="1473"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电子邮箱</w:t>
            </w:r>
            <w:r/>
          </w:p>
        </w:tc>
        <w:tc>
          <w:tcPr>
            <w:shd w:val="clear" w:color="auto" w:fill="auto"/>
            <w:tcBorders>
              <w:top w:val="single" w:color="auto" w:sz="4" w:space="0"/>
              <w:left w:val="single" w:color="auto" w:sz="4" w:space="0"/>
              <w:bottom w:val="single" w:color="auto" w:sz="4" w:space="0"/>
              <w:right w:val="single" w:color="auto" w:sz="4" w:space="0"/>
            </w:tcBorders>
            <w:tcW w:w="1479" w:type="dxa"/>
            <w:vAlign w:val="center"/>
            <w:textDirection w:val="lrTb"/>
            <w:noWrap w:val="false"/>
          </w:tcPr>
          <w:p>
            <w:pPr>
              <w:jc w:val="left"/>
              <w:spacing w:before="240" w:after="240"/>
              <w:widowControl/>
              <w:rPr>
                <w:rFonts w:ascii="宋体" w:hAnsi="宋体" w:eastAsia="宋体" w:cs="宋体"/>
                <w:b/>
                <w:color w:val="000000" w:themeColor="text1"/>
                <w:sz w:val="24"/>
                <w:highlight w:val="none"/>
                <w14:textFill>
                  <w14:solidFill>
                    <w14:schemeClr w14:val="tx1"/>
                  </w14:solidFill>
                </w14:textFill>
              </w:rPr>
            </w:pPr>
            <w:r>
              <w:rPr>
                <w:rFonts w:ascii="宋体" w:hAnsi="宋体" w:eastAsia="宋体" w:cs="宋体"/>
                <w:b/>
                <w:color w:val="000000" w:themeColor="text1"/>
                <w:sz w:val="24"/>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gridSpan w:val="5"/>
            <w:shd w:val="clear" w:color="auto" w:fill="auto"/>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从事专业工作时间</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gridSpan w:val="5"/>
            <w:shd w:val="clear" w:color="auto" w:fill="auto"/>
            <w:tcBorders>
              <w:top w:val="none" w:color="000000" w:sz="4" w:space="0"/>
              <w:left w:val="single" w:color="auto" w:sz="4" w:space="0"/>
              <w:bottom w:val="single" w:color="auto" w:sz="4" w:space="0"/>
              <w:right w:val="single" w:color="auto" w:sz="4" w:space="0"/>
            </w:tcBorders>
            <w:tcW w:w="7899"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拥有的职称</w:t>
            </w:r>
            <w:r/>
          </w:p>
        </w:tc>
      </w:tr>
      <w:tr>
        <w:trPr>
          <w:jc w:val="center"/>
          <w:trHeight w:val="1487"/>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240"/>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gridSpan w:val="5"/>
            <w:shd w:val="clear" w:color="auto" w:fill="auto"/>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工作简历：</w:t>
            </w:r>
            <w:r/>
          </w:p>
          <w:p>
            <w:pPr>
              <w:pStyle w:val="1138"/>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ind w:firstLine="240"/>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gridSpan w:val="5"/>
            <w:shd w:val="clear" w:color="auto" w:fill="auto"/>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曾获得的奖励情况：</w:t>
            </w:r>
            <w:r/>
          </w:p>
          <w:p>
            <w:pPr>
              <w:pStyle w:val="1138"/>
              <w:numPr>
                <w:ilvl w:val="0"/>
                <w:numId w:val="2"/>
              </w:num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pStyle w:val="1138"/>
              <w:numPr>
                <w:ilvl w:val="0"/>
                <w:numId w:val="2"/>
              </w:num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pStyle w:val="1138"/>
              <w:numPr>
                <w:ilvl w:val="0"/>
                <w:numId w:val="2"/>
              </w:numPr>
              <w:rPr>
                <w:color w:val="000000" w:themeColor="text1"/>
                <w:highlight w:val="none"/>
                <w:u w:val="single"/>
                <w14:textFill>
                  <w14:solidFill>
                    <w14:schemeClr w14:val="tx1"/>
                  </w14:solidFill>
                </w14:textFill>
              </w:rPr>
            </w:pPr>
            <w:r>
              <w:rPr>
                <w:color w:val="000000" w:themeColor="text1"/>
                <w:highlight w:val="none"/>
                <w:u w:val="single"/>
                <w14:textFill>
                  <w14:solidFill>
                    <w14:schemeClr w14:val="tx1"/>
                  </w14:solidFill>
                </w14:textFill>
              </w:rPr>
            </w:r>
            <w:r/>
          </w:p>
          <w:p>
            <w:pPr>
              <w:pStyle w:val="1138"/>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22" w:type="dxa"/>
            <w:vAlign w:val="center"/>
            <w:textDirection w:val="lrTb"/>
            <w:noWrap w:val="false"/>
          </w:tcPr>
          <w:p>
            <w:pPr>
              <w:jc w:val="center"/>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gridSpan w:val="5"/>
            <w:shd w:val="clear" w:color="auto" w:fill="auto"/>
            <w:tcBorders>
              <w:top w:val="single" w:color="auto" w:sz="4" w:space="0"/>
              <w:left w:val="single" w:color="auto" w:sz="4" w:space="0"/>
              <w:bottom w:val="single" w:color="auto" w:sz="4" w:space="0"/>
              <w:right w:val="single" w:color="auto" w:sz="4" w:space="0"/>
            </w:tcBorders>
            <w:tcW w:w="7899" w:type="dxa"/>
            <w:vAlign w:val="center"/>
            <w:textDirection w:val="lrTb"/>
            <w:noWrap w:val="false"/>
          </w:tcPr>
          <w:p>
            <w:pPr>
              <w:jc w:val="left"/>
              <w:spacing w:before="240" w:after="240"/>
              <w:widowControl/>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r>
    </w:tbl>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jc w:val="left"/>
        <w:spacing w:line="360" w:lineRule="auto"/>
        <w:rPr>
          <w:rFonts w:ascii="宋体" w:hAnsi="宋体" w:eastAsia="宋体" w:cs="宋体"/>
          <w:b/>
          <w:color w:val="000000" w:themeColor="text1"/>
          <w:sz w:val="24"/>
          <w:szCs w:val="24"/>
          <w:highlight w:val="none"/>
          <w14:textFill>
            <w14:solidFill>
              <w14:schemeClr w14:val="tx1"/>
            </w14:solidFill>
          </w14:textFill>
        </w:rPr>
        <w:outlineLvl w:val="1"/>
      </w:pPr>
      <w:r>
        <w:rPr>
          <w:rFonts w:ascii="宋体" w:hAnsi="宋体" w:eastAsia="宋体" w:cs="宋体"/>
          <w:b/>
          <w:color w:val="000000" w:themeColor="text1"/>
          <w:sz w:val="24"/>
          <w:szCs w:val="24"/>
          <w:highlight w:val="none"/>
          <w14:textFill>
            <w14:solidFill>
              <w14:schemeClr w14:val="tx1"/>
            </w14:solidFill>
          </w14:textFill>
        </w:rPr>
      </w:r>
      <w:r/>
    </w:p>
    <w:p>
      <w:pPr>
        <w:ind w:firstLine="480"/>
        <w:jc w:val="left"/>
        <w:spacing w:line="360" w:lineRule="auto"/>
        <w:rPr>
          <w:rFonts w:ascii="宋体" w:hAnsi="宋体" w:eastAsia="宋体" w:cs="宋体"/>
          <w:b/>
          <w:color w:val="000000" w:themeColor="text1"/>
          <w:sz w:val="24"/>
          <w:szCs w:val="24"/>
          <w:highlight w:val="none"/>
          <w14:textFill>
            <w14:solidFill>
              <w14:schemeClr w14:val="tx1"/>
            </w14:solidFill>
          </w14:textFill>
        </w:rPr>
        <w:outlineLvl w:val="1"/>
      </w:pPr>
      <w:r>
        <w:rPr>
          <w:rFonts w:ascii="宋体" w:hAnsi="宋体" w:eastAsia="宋体" w:cs="宋体"/>
          <w:b/>
          <w:color w:val="000000" w:themeColor="text1"/>
          <w:sz w:val="24"/>
          <w:szCs w:val="24"/>
          <w:highlight w:val="none"/>
          <w14:textFill>
            <w14:solidFill>
              <w14:schemeClr w14:val="tx1"/>
            </w14:solidFill>
          </w14:textFill>
        </w:rPr>
      </w:r>
      <w:r/>
    </w:p>
    <w:p>
      <w:pPr>
        <w:ind w:firstLine="480"/>
        <w:jc w:val="left"/>
        <w:spacing w:line="360" w:lineRule="auto"/>
        <w:rPr>
          <w:rFonts w:ascii="宋体" w:hAnsi="宋体" w:eastAsia="宋体" w:cs="宋体"/>
          <w:b/>
          <w:color w:val="000000" w:themeColor="text1"/>
          <w:sz w:val="24"/>
          <w:szCs w:val="24"/>
          <w:highlight w:val="none"/>
          <w14:textFill>
            <w14:solidFill>
              <w14:schemeClr w14:val="tx1"/>
            </w14:solidFill>
          </w14:textFill>
        </w:rPr>
        <w:outlineLvl w:val="1"/>
      </w:pPr>
      <w:r>
        <w:rPr>
          <w:rFonts w:ascii="宋体" w:hAnsi="宋体" w:eastAsia="宋体" w:cs="宋体"/>
          <w:b/>
          <w:color w:val="000000" w:themeColor="text1"/>
          <w:sz w:val="24"/>
          <w:szCs w:val="24"/>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9、</w:t>
      </w: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机械化作业人员配备承诺书 </w:t>
      </w:r>
      <w:r/>
    </w:p>
    <w:p>
      <w:pPr>
        <w:ind w:firstLine="480"/>
        <w:jc w:val="left"/>
        <w:spacing w:line="360" w:lineRule="auto"/>
        <w:rPr>
          <w:rFonts w:ascii="宋体" w:hAnsi="宋体" w:eastAsia="宋体" w:cs="宋体"/>
          <w:b/>
          <w:color w:val="000000" w:themeColor="text1"/>
          <w:sz w:val="24"/>
          <w:szCs w:val="24"/>
          <w:highlight w:val="none"/>
          <w14:textFill>
            <w14:solidFill>
              <w14:schemeClr w14:val="tx1"/>
            </w14:solidFill>
          </w14:textFill>
        </w:rPr>
        <w:outlineLvl w:val="1"/>
      </w:pPr>
      <w:r>
        <w:rPr>
          <w:rFonts w:ascii="宋体" w:hAnsi="宋体" w:eastAsia="宋体" w:cs="宋体"/>
          <w:b/>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center"/>
        <w:widowControl/>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机械化作业人员配备承诺书</w:t>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val="0"/>
          <w:bCs/>
          <w:color w:val="000000" w:themeColor="text1"/>
          <w:sz w:val="24"/>
          <w:szCs w:val="24"/>
          <w:highlight w:val="none"/>
          <w:u w:val="single"/>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苏州华星工程造价咨询有限公司：</w:t>
      </w:r>
      <w:r/>
    </w:p>
    <w:p>
      <w:pPr>
        <w:ind w:firstLine="516"/>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480" w:firstLine="480"/>
        <w:jc w:val="lef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本公司收到贵司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号招标文件，经仔细阅读和研究，本公司承诺：投入机械化作业人员相应作业时段的每班最低人数不低于招标文件</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附件二《2026年园区抑尘服务项目信息一览表》</w:t>
      </w:r>
      <w:r>
        <w:rPr>
          <w:rFonts w:hint="eastAsia" w:ascii="宋体" w:hAnsi="宋体" w:eastAsia="宋体" w:cs="宋体"/>
          <w:color w:val="000000" w:themeColor="text1"/>
          <w:sz w:val="24"/>
          <w:szCs w:val="24"/>
          <w:highlight w:val="none"/>
          <w14:textFill>
            <w14:solidFill>
              <w14:schemeClr w14:val="tx1"/>
            </w14:solidFill>
          </w14:textFill>
        </w:rPr>
        <w:t xml:space="preserve">中的人员配置要求。</w:t>
      </w:r>
      <w:r/>
    </w:p>
    <w:p>
      <w:pPr>
        <w:ind w:firstLine="516"/>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若本公司中标进场后，不提供或提供的作业人员相应作业时段的每班最低人数不符合招标文件要求的，采购人有权终止合同。</w:t>
      </w:r>
      <w:r/>
    </w:p>
    <w:p>
      <w:pPr>
        <w:ind w:firstLine="516"/>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本公司承诺，用人管理遵守国家相关规定，如有违反，接受采购人对本公司做出的相关扣款等违约处理。</w:t>
      </w:r>
      <w:r/>
    </w:p>
    <w:p>
      <w:pPr>
        <w:pStyle w:val="1219"/>
        <w:ind w:firstLine="516"/>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pStyle w:val="1243"/>
        <w:ind w:firstLine="482"/>
        <w:spacing w:line="360" w:lineRule="auto"/>
        <w:rPr>
          <w:rFonts w:hAnsi="宋体" w:eastAsia="宋体" w:cs="宋体"/>
          <w:b/>
          <w:color w:val="000000" w:themeColor="text1"/>
          <w:sz w:val="24"/>
          <w:szCs w:val="24"/>
          <w:highlight w:val="none"/>
          <w14:textFill>
            <w14:solidFill>
              <w14:schemeClr w14:val="tx1"/>
            </w14:solidFill>
          </w14:textFill>
        </w:rPr>
      </w:pPr>
      <w:r>
        <w:rPr>
          <w:rFonts w:hint="eastAsia" w:hAnsi="宋体" w:eastAsia="宋体" w:cs="宋体"/>
          <w:b/>
          <w:color w:val="000000" w:themeColor="text1"/>
          <w:sz w:val="24"/>
          <w:szCs w:val="24"/>
          <w:highlight w:val="none"/>
          <w14:textFill>
            <w14:solidFill>
              <w14:schemeClr w14:val="tx1"/>
            </w14:solidFill>
          </w14:textFill>
        </w:rPr>
        <w:t xml:space="preserve">以上特此承诺。</w:t>
      </w:r>
      <w:r/>
    </w:p>
    <w:p>
      <w:pPr>
        <w:ind w:right="105" w:firstLine="482"/>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right="2040"/>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p>
      <w:pPr>
        <w:jc w:val="left"/>
        <w:widowControl/>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t xml:space="preserve">1</w:t>
      </w:r>
      <w:r>
        <w:rPr>
          <w:rFonts w:hint="eastAsia" w:ascii="宋体" w:hAnsi="宋体" w:eastAsia="宋体"/>
          <w:b/>
          <w:color w:val="000000" w:themeColor="text1"/>
          <w:sz w:val="24"/>
          <w:szCs w:val="21"/>
          <w:highlight w:val="none"/>
          <w14:textFill>
            <w14:solidFill>
              <w14:schemeClr w14:val="tx1"/>
            </w14:solidFill>
          </w14:textFill>
        </w:rPr>
        <w:t xml:space="preserve">0、开设人员工资专户承诺书 </w:t>
      </w:r>
      <w:r/>
    </w:p>
    <w:p>
      <w:pPr>
        <w:jc w:val="left"/>
        <w:spacing w:line="360" w:lineRule="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jc w:val="center"/>
        <w:spacing w:line="360" w:lineRule="auto"/>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开设人员工资专户承诺书</w:t>
      </w:r>
      <w:r/>
    </w:p>
    <w:p>
      <w:pPr>
        <w:jc w:val="center"/>
        <w:spacing w:line="360" w:lineRule="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spacing w:line="360" w:lineRule="auto"/>
        <w:rPr>
          <w:rFonts w:ascii="宋体" w:hAnsi="宋体" w:eastAsia="宋体"/>
          <w:b w:val="0"/>
          <w:bCs/>
          <w:color w:val="000000" w:themeColor="text1"/>
          <w:sz w:val="24"/>
          <w:szCs w:val="24"/>
          <w:highlight w:val="none"/>
          <w:u w:val="single"/>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苏州华星工程造价咨询有限公司：</w:t>
      </w:r>
      <w:r/>
    </w:p>
    <w:p>
      <w:pPr>
        <w:ind w:firstLine="480"/>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本公司承诺：若本公司中标，中标后将按苏州工业园区环卫工人工资专户管理的相关要求办理相关事宜，包括但不限于与采购人、合作银行签订《工资专用账户资金监管协议》、为该项目管理及作业人员全员足额开设工资专户且每期（月）存入工资专户。</w:t>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spacing w:line="240" w:lineRule="auto"/>
        <w:rPr>
          <w:rFonts w:ascii="宋体" w:hAnsi="宋体" w:eastAsia="宋体"/>
          <w:b/>
          <w:color w:val="000000" w:themeColor="text1"/>
          <w:sz w:val="24"/>
          <w:szCs w:val="21"/>
          <w:highlight w:val="none"/>
          <w14:textFill>
            <w14:solidFill>
              <w14:schemeClr w14:val="tx1"/>
            </w14:solidFill>
          </w14:textFill>
        </w:rPr>
        <w:outlineLvl w:val="9"/>
      </w:pPr>
      <w:r>
        <w:rPr>
          <w:rFonts w:hint="eastAsia" w:ascii="宋体" w:hAnsi="宋体" w:eastAsia="宋体"/>
          <w:b/>
          <w:color w:val="000000" w:themeColor="text1"/>
          <w:sz w:val="24"/>
          <w:szCs w:val="21"/>
          <w:highlight w:val="none"/>
          <w14:textFill>
            <w14:solidFill>
              <w14:schemeClr w14:val="tx1"/>
            </w14:solidFill>
          </w14:textFill>
        </w:rPr>
        <w:br w:type="page" w:clear="all"/>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t xml:space="preserve">11、乙供设备配备情况表 </w:t>
      </w:r>
      <w:r/>
    </w:p>
    <w:p>
      <w:pPr>
        <w:ind w:firstLine="723"/>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（1）拟投入自有或租赁“燃油/电动多功能抑尘车”车辆配备一览表 </w:t>
      </w:r>
      <w:r/>
    </w:p>
    <w:p>
      <w:pPr>
        <w:ind w:firstLine="723"/>
        <w:jc w:val="left"/>
        <w:widowControl/>
        <w:rPr>
          <w:rFonts w:ascii="宋体" w:hAnsi="宋体" w:eastAsia="宋体" w:cs="宋体"/>
          <w:b/>
          <w:bCs/>
          <w:color w:val="000000" w:themeColor="text1"/>
          <w:sz w:val="24"/>
          <w:szCs w:val="24"/>
          <w:highlight w:val="none"/>
          <w:lang w:bidi="ar"/>
          <w14:textFill>
            <w14:solidFill>
              <w14:schemeClr w14:val="tx1"/>
            </w14:solidFill>
          </w14:textFill>
        </w:rPr>
      </w:pPr>
      <w:r>
        <w:rPr>
          <w:rFonts w:ascii="宋体" w:hAnsi="宋体" w:eastAsia="宋体" w:cs="宋体"/>
          <w:b/>
          <w:bCs/>
          <w:color w:val="000000" w:themeColor="text1"/>
          <w:sz w:val="24"/>
          <w:szCs w:val="24"/>
          <w:highlight w:val="none"/>
          <w:lang w:bidi="ar"/>
          <w14:textFill>
            <w14:solidFill>
              <w14:schemeClr w14:val="tx1"/>
            </w14:solidFill>
          </w14:textFill>
        </w:rPr>
      </w:r>
      <w:r/>
    </w:p>
    <w:tbl>
      <w:tblPr>
        <w:tblStyle w:val="1126"/>
        <w:tblW w:w="555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6"/>
        <w:gridCol w:w="1256"/>
        <w:gridCol w:w="432"/>
        <w:gridCol w:w="758"/>
        <w:gridCol w:w="761"/>
        <w:gridCol w:w="1285"/>
        <w:gridCol w:w="872"/>
        <w:gridCol w:w="752"/>
        <w:gridCol w:w="718"/>
        <w:gridCol w:w="723"/>
        <w:gridCol w:w="1273"/>
        <w:gridCol w:w="718"/>
      </w:tblGrid>
      <w:tr>
        <w:trPr>
          <w:cantSplit/>
          <w:jc w:val="center"/>
          <w:trHeight w:val="23"/>
        </w:trPr>
        <w:tc>
          <w:tcPr>
            <w:tcBorders>
              <w:top w:val="single" w:color="auto" w:sz="6" w:space="0"/>
              <w:left w:val="single" w:color="auto" w:sz="6" w:space="0"/>
              <w:bottom w:val="single" w:color="auto" w:sz="6" w:space="0"/>
              <w:right w:val="single" w:color="auto" w:sz="6" w:space="0"/>
            </w:tcBorders>
            <w:tcW w:w="251"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215"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车牌号</w:t>
            </w:r>
            <w:r/>
          </w:p>
        </w:tc>
        <w:tc>
          <w:tcPr>
            <w:tcBorders>
              <w:top w:val="single" w:color="auto" w:sz="6" w:space="0"/>
              <w:left w:val="single" w:color="auto" w:sz="6" w:space="0"/>
              <w:bottom w:val="single" w:color="auto" w:sz="6" w:space="0"/>
              <w:right w:val="single" w:color="auto" w:sz="6" w:space="0"/>
            </w:tcBorders>
            <w:tcW w:w="377"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核载</w:t>
            </w:r>
            <w:r/>
          </w:p>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质量</w:t>
            </w:r>
            <w:r/>
          </w:p>
        </w:tc>
        <w:tc>
          <w:tcPr>
            <w:tcBorders>
              <w:top w:val="single" w:color="auto" w:sz="6" w:space="0"/>
              <w:left w:val="single" w:color="auto" w:sz="6" w:space="0"/>
              <w:bottom w:val="single" w:color="auto" w:sz="4" w:space="0"/>
              <w:right w:val="single" w:color="auto" w:sz="6" w:space="0"/>
            </w:tcBorders>
            <w:tcW w:w="378"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国家批准</w:t>
            </w:r>
            <w:r/>
          </w:p>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型号</w:t>
            </w:r>
            <w:r/>
          </w:p>
        </w:tc>
        <w:tc>
          <w:tcPr>
            <w:tcBorders>
              <w:top w:val="single" w:color="auto" w:sz="6" w:space="0"/>
              <w:left w:val="single" w:color="auto" w:sz="6" w:space="0"/>
              <w:bottom w:val="single" w:color="auto" w:sz="4" w:space="0"/>
              <w:right w:val="single" w:color="auto" w:sz="6" w:space="0"/>
            </w:tcBorders>
            <w:tcW w:w="639"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发动机号（上）/</w:t>
            </w:r>
            <w:r/>
          </w:p>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车架号（下）</w:t>
            </w:r>
            <w:r/>
          </w:p>
        </w:tc>
        <w:tc>
          <w:tcPr>
            <w:tcBorders>
              <w:top w:val="single" w:color="auto" w:sz="6" w:space="0"/>
              <w:left w:val="single" w:color="auto" w:sz="6" w:space="0"/>
              <w:bottom w:val="single" w:color="auto" w:sz="6" w:space="0"/>
              <w:right w:val="single" w:color="auto" w:sz="6" w:space="0"/>
            </w:tcBorders>
            <w:tcW w:w="434"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登记证书登记日期</w:t>
            </w:r>
            <w:r/>
          </w:p>
        </w:tc>
        <w:tc>
          <w:tcPr>
            <w:tcBorders>
              <w:top w:val="single" w:color="auto" w:sz="6" w:space="0"/>
              <w:left w:val="single" w:color="auto" w:sz="6" w:space="0"/>
              <w:bottom w:val="single" w:color="auto" w:sz="6" w:space="0"/>
              <w:right w:val="single" w:color="auto" w:sz="6" w:space="0"/>
            </w:tcBorders>
            <w:tcW w:w="374"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是否有过户记录</w:t>
            </w:r>
            <w:r/>
          </w:p>
        </w:tc>
        <w:tc>
          <w:tcPr>
            <w:tcBorders>
              <w:top w:val="single" w:color="auto" w:sz="6" w:space="0"/>
              <w:left w:val="single" w:color="auto" w:sz="6" w:space="0"/>
              <w:bottom w:val="single" w:color="auto" w:sz="6" w:space="0"/>
              <w:right w:val="single" w:color="auto" w:sz="4" w:space="0"/>
            </w:tcBorders>
            <w:tcW w:w="357"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机动车所有人</w:t>
            </w:r>
            <w:r/>
          </w:p>
        </w:tc>
        <w:tc>
          <w:tcPr>
            <w:tcBorders>
              <w:top w:val="single" w:color="auto" w:sz="6" w:space="0"/>
              <w:left w:val="single" w:color="auto" w:sz="4" w:space="0"/>
              <w:bottom w:val="single" w:color="auto" w:sz="6" w:space="0"/>
              <w:right w:val="single" w:color="auto" w:sz="6" w:space="0"/>
            </w:tcBorders>
            <w:tcW w:w="359"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交强险保单号</w:t>
            </w:r>
            <w:r/>
          </w:p>
        </w:tc>
        <w:tc>
          <w:tcPr>
            <w:tcBorders>
              <w:top w:val="single" w:color="auto" w:sz="6" w:space="0"/>
              <w:left w:val="single" w:color="auto" w:sz="6" w:space="0"/>
              <w:bottom w:val="single" w:color="auto" w:sz="6" w:space="0"/>
              <w:right w:val="single" w:color="auto" w:sz="6" w:space="0"/>
            </w:tcBorders>
            <w:tcW w:w="633"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所有权情况：填写“自有”或“租赁”</w:t>
            </w:r>
            <w:r/>
          </w:p>
        </w:tc>
        <w:tc>
          <w:tcPr>
            <w:tcBorders>
              <w:top w:val="single" w:color="auto" w:sz="6" w:space="0"/>
              <w:left w:val="single" w:color="auto" w:sz="6" w:space="0"/>
              <w:bottom w:val="single" w:color="auto" w:sz="6" w:space="0"/>
              <w:right w:val="single" w:color="auto" w:sz="6" w:space="0"/>
            </w:tcBorders>
            <w:tcW w:w="357"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备注</w:t>
            </w:r>
            <w:r/>
          </w:p>
        </w:tc>
      </w:tr>
      <w:tr>
        <w:trPr>
          <w:cantSplit/>
          <w:jc w:val="center"/>
          <w:trHeight w:val="282"/>
        </w:trPr>
        <w:tc>
          <w:tcPr>
            <w:tcBorders>
              <w:top w:val="single" w:color="auto" w:sz="6" w:space="0"/>
              <w:left w:val="single" w:color="auto" w:sz="6" w:space="0"/>
              <w:bottom w:val="single" w:color="auto" w:sz="6" w:space="0"/>
              <w:right w:val="single" w:color="auto" w:sz="6" w:space="0"/>
            </w:tcBorders>
            <w:tcW w:w="251"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625" w:type="pct"/>
            <w:vAlign w:val="center"/>
            <w:vMerge w:val="restart"/>
            <w:textDirection w:val="lrTb"/>
            <w:noWrap w:val="false"/>
          </w:tcPr>
          <w:p>
            <w:pPr>
              <w:jc w:val="center"/>
              <w:widowControl/>
              <w:rPr>
                <w:rFonts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bidi="ar"/>
                <w14:textFill>
                  <w14:solidFill>
                    <w14:schemeClr w14:val="tx1"/>
                  </w14:solidFill>
                </w14:textFill>
              </w:rPr>
              <w:t xml:space="preserve">燃油/电动多功能抑尘车</w:t>
            </w:r>
            <w:r/>
          </w:p>
        </w:tc>
        <w:tc>
          <w:tcPr>
            <w:tcBorders>
              <w:top w:val="single" w:color="auto" w:sz="6" w:space="0"/>
              <w:left w:val="single" w:color="auto" w:sz="6" w:space="0"/>
              <w:bottom w:val="single" w:color="auto" w:sz="6" w:space="0"/>
              <w:right w:val="single" w:color="auto" w:sz="6" w:space="0"/>
            </w:tcBorders>
            <w:tcW w:w="215"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77" w:type="pct"/>
            <w:vAlign w:val="center"/>
            <w:vMerge w:val="restart"/>
            <w:textDirection w:val="lrTb"/>
            <w:noWrap w:val="false"/>
          </w:tcPr>
          <w:p>
            <w:pPr>
              <w:pStyle w:val="1131"/>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≥5.8T</w:t>
            </w:r>
            <w:r/>
          </w:p>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78"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39" w:type="pct"/>
            <w:vAlign w:val="center"/>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434"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74"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357"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59"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33"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c>
          <w:tcPr>
            <w:tcBorders>
              <w:top w:val="single" w:color="auto" w:sz="6" w:space="0"/>
              <w:left w:val="single" w:color="auto" w:sz="6" w:space="0"/>
              <w:right w:val="single" w:color="auto" w:sz="6" w:space="0"/>
            </w:tcBorders>
            <w:tcW w:w="357" w:type="pct"/>
            <w:vAlign w:val="center"/>
            <w:vMerge w:val="restart"/>
            <w:textDirection w:val="lrTb"/>
            <w:noWrap w:val="false"/>
          </w:tcPr>
          <w:p>
            <w:pPr>
              <w:jc w:val="center"/>
              <w:spacing w:line="360" w:lineRule="auto"/>
              <w:rPr>
                <w:rFonts w:ascii="宋体" w:hAnsi="宋体" w:eastAsia="宋体" w:cs="宋体"/>
                <w:color w:val="000000" w:themeColor="text1"/>
                <w:sz w:val="22"/>
                <w:szCs w:val="22"/>
                <w:highlight w:val="none"/>
                <w14:textFill>
                  <w14:solidFill>
                    <w14:schemeClr w14:val="tx1"/>
                  </w14:solidFill>
                </w14:textFill>
              </w:rPr>
            </w:pPr>
            <w:r>
              <w:rPr>
                <w:rFonts w:ascii="宋体" w:hAnsi="宋体" w:eastAsia="宋体" w:cs="宋体"/>
                <w:color w:val="000000" w:themeColor="text1"/>
                <w:sz w:val="22"/>
                <w:szCs w:val="22"/>
                <w:highlight w:val="none"/>
                <w14:textFill>
                  <w14:solidFill>
                    <w14:schemeClr w14:val="tx1"/>
                  </w14:solidFill>
                </w14:textFill>
              </w:rPr>
            </w:r>
            <w:r/>
          </w:p>
        </w:tc>
      </w:tr>
      <w:tr>
        <w:trPr>
          <w:cantSplit/>
          <w:jc w:val="center"/>
          <w:trHeight w:val="23"/>
        </w:trPr>
        <w:tc>
          <w:tcPr>
            <w:tcBorders>
              <w:left w:val="single" w:color="auto" w:sz="6" w:space="0"/>
              <w:bottom w:val="single" w:color="auto" w:sz="4" w:space="0"/>
              <w:right w:val="single" w:color="auto" w:sz="6" w:space="0"/>
            </w:tcBorders>
            <w:tcW w:w="251"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625"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215"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377"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378"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39" w:type="pct"/>
            <w:vAlign w:val="center"/>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434"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374"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4" w:space="0"/>
            </w:tcBorders>
            <w:tcW w:w="357"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4" w:space="0"/>
              <w:bottom w:val="single" w:color="auto" w:sz="4" w:space="0"/>
              <w:right w:val="single" w:color="auto" w:sz="6" w:space="0"/>
            </w:tcBorders>
            <w:tcW w:w="359"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4" w:space="0"/>
              <w:right w:val="single" w:color="auto" w:sz="6" w:space="0"/>
            </w:tcBorders>
            <w:tcW w:w="633"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right w:val="single" w:color="auto" w:sz="6" w:space="0"/>
            </w:tcBorders>
            <w:tcW w:w="357"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r>
      <w:tr>
        <w:trPr>
          <w:cantSplit/>
          <w:jc w:val="center"/>
          <w:trHeight w:val="23"/>
        </w:trPr>
        <w:tc>
          <w:tcPr>
            <w:tcBorders>
              <w:top w:val="single" w:color="auto" w:sz="6" w:space="0"/>
              <w:left w:val="single" w:color="auto" w:sz="6" w:space="0"/>
              <w:bottom w:val="single" w:color="auto" w:sz="6" w:space="0"/>
              <w:right w:val="single" w:color="auto" w:sz="6" w:space="0"/>
            </w:tcBorders>
            <w:tcW w:w="251"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25"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15"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77" w:type="pct"/>
            <w:vAlign w:val="center"/>
            <w:vMerge w:val="continue"/>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78"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39" w:type="pct"/>
            <w:vAlign w:val="center"/>
            <w:textDirection w:val="lrTb"/>
            <w:noWrap w:val="false"/>
          </w:tcPr>
          <w:p>
            <w:pPr>
              <w:jc w:val="cente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434"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374"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357"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59"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633"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c>
          <w:tcPr>
            <w:tcBorders>
              <w:left w:val="single" w:color="auto" w:sz="6" w:space="0"/>
              <w:bottom w:val="single" w:color="auto" w:sz="6" w:space="0"/>
              <w:right w:val="single" w:color="auto" w:sz="6" w:space="0"/>
            </w:tcBorders>
            <w:tcW w:w="357" w:type="pct"/>
            <w:vAlign w:val="center"/>
            <w:vMerge w:val="continue"/>
            <w:textDirection w:val="lrTb"/>
            <w:noWrap w:val="false"/>
          </w:tcPr>
          <w:p>
            <w:pPr>
              <w:spacing w:line="360" w:lineRule="auto"/>
              <w:rPr>
                <w:rFonts w:ascii="宋体" w:hAnsi="宋体" w:eastAsia="宋体" w:cs="宋体"/>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14:textFill>
                  <w14:solidFill>
                    <w14:schemeClr w14:val="tx1"/>
                  </w14:solidFill>
                </w14:textFill>
              </w:rPr>
            </w:r>
            <w:r/>
          </w:p>
        </w:tc>
      </w:tr>
    </w:tbl>
    <w:p>
      <w:pPr>
        <w:ind w:right="1560" w:firstLine="480"/>
        <w:jc w:val="right"/>
        <w:spacing w:line="360" w:lineRule="auto"/>
        <w:tabs>
          <w:tab w:val="left" w:pos="4860"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widowControl/>
        <w:rPr>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bidi="ar"/>
          <w14:textFill>
            <w14:solidFill>
              <w14:schemeClr w14:val="tx1"/>
            </w14:solidFill>
          </w14:textFill>
        </w:rPr>
        <w:t xml:space="preserve">注： </w:t>
      </w:r>
      <w:r/>
    </w:p>
    <w:p>
      <w:pPr>
        <w:ind w:firstLine="422"/>
        <w:jc w:val="left"/>
        <w:widowControl/>
        <w:rPr>
          <w:color w:val="000000" w:themeColor="text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1、“</w:t>
      </w:r>
      <w:r>
        <w:rPr>
          <w:rFonts w:hint="eastAsia" w:ascii="宋体" w:hAnsi="宋体" w:eastAsia="宋体" w:cs="宋体"/>
          <w:b/>
          <w:bCs/>
          <w:color w:val="000000" w:themeColor="text1"/>
          <w:sz w:val="22"/>
          <w:szCs w:val="22"/>
          <w:highlight w:val="none"/>
          <w:lang w:bidi="ar"/>
          <w14:textFill>
            <w14:solidFill>
              <w14:schemeClr w14:val="tx1"/>
            </w14:solidFill>
          </w14:textFill>
        </w:rPr>
        <w:t xml:space="preserve">燃油/电动多功能抑尘车</w:t>
      </w: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”型号规格及配备数量不得低于招标文件要求，投标人在投标文件中提供车辆自有或租赁的相关证明资料，否则为无效投标。 </w:t>
      </w:r>
      <w:r/>
    </w:p>
    <w:p>
      <w:pPr>
        <w:ind w:firstLine="422"/>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2、投标人在投标时须自有或租赁“燃油/电动多功能抑尘车”。如设备为自有的，须在表后附上车辆行驶证、车辆登记证、交强险保单扫描件（行驶证、车辆登记证上载明的所有人必须为投标单位或其分公司，且车辆需在检验有效期内）；设备为租赁的须在表后附上投标单位的租赁协议（租赁期限需覆盖本项目服务期）、车辆行驶证、车辆登记证、交强险保单扫描件（行驶证、车辆登记证上载明的所有人必须为出租方单位，且车辆须在检验有效期内）。</w:t>
      </w:r>
      <w:r/>
    </w:p>
    <w:p>
      <w:pPr>
        <w:ind w:firstLine="422"/>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3、拟投入本项目的机动车登记证初次登记日期为2021年1月1日（含）之后。</w:t>
      </w:r>
      <w:r/>
    </w:p>
    <w:p>
      <w:pPr>
        <w:ind w:firstLine="422"/>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4、所有乙供燃油/电动多功能抑尘车和项目组设备在计划进场日期（2026年6月11日）之前都配备到位，设备产权符合要求。环卫信息化设备和车辆主动安全识别监控配备时间要求见相关附件。</w:t>
      </w:r>
      <w:r/>
    </w:p>
    <w:p>
      <w:pPr>
        <w:ind w:firstLine="422"/>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5、若有以下情形的，视为车辆（设备）无效，不计入有效数量：投标人租赁车辆（设备）的期限无法覆盖本项目服务期；发现不同投标人拟投入的车辆（设备）为同一车辆（设备）。 </w:t>
      </w:r>
      <w:r/>
    </w:p>
    <w:p>
      <w:pPr>
        <w:ind w:firstLine="422"/>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6、拟投入车辆、设备（包括数量及规格参数等）须满足招标文件的要求，低于招标文件要求的视为未实质性响应招标文件要求，为无效标。 </w:t>
      </w:r>
      <w:r/>
    </w:p>
    <w:p>
      <w:pPr>
        <w:ind w:firstLine="422"/>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 xml:space="preserve">7、未按要求填报的，按无效标处理。 </w:t>
      </w:r>
      <w:r/>
    </w:p>
    <w:p>
      <w:pPr>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ascii="宋体" w:hAnsi="宋体" w:eastAsia="宋体" w:cs="宋体"/>
          <w:b/>
          <w:bCs/>
          <w:color w:val="000000" w:themeColor="text1"/>
          <w:sz w:val="21"/>
          <w:szCs w:val="21"/>
          <w:highlight w:val="none"/>
          <w:lang w:bidi="ar"/>
          <w14:textFill>
            <w14:solidFill>
              <w14:schemeClr w14:val="tx1"/>
            </w14:solidFill>
          </w14:textFill>
        </w:rPr>
      </w:r>
      <w:r/>
    </w:p>
    <w:p>
      <w:pPr>
        <w:jc w:val="left"/>
        <w:widowControl/>
        <w:rPr>
          <w:rFonts w:ascii="宋体" w:hAnsi="宋体" w:eastAsia="宋体" w:cs="宋体"/>
          <w:b/>
          <w:bCs/>
          <w:color w:val="000000" w:themeColor="text1"/>
          <w:sz w:val="21"/>
          <w:szCs w:val="21"/>
          <w:highlight w:val="none"/>
          <w:lang w:bidi="ar"/>
          <w14:textFill>
            <w14:solidFill>
              <w14:schemeClr w14:val="tx1"/>
            </w14:solidFill>
          </w14:textFill>
        </w:rPr>
      </w:pPr>
      <w:r>
        <w:rPr>
          <w:rFonts w:ascii="宋体" w:hAnsi="宋体" w:eastAsia="宋体" w:cs="宋体"/>
          <w:b/>
          <w:bCs/>
          <w:color w:val="000000" w:themeColor="text1"/>
          <w:sz w:val="21"/>
          <w:szCs w:val="21"/>
          <w:highlight w:val="none"/>
          <w:lang w:bidi="ar"/>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rPr>
          <w:rFonts w:ascii="宋体" w:hAnsi="宋体" w:eastAsia="宋体" w:cs="宋体"/>
          <w:color w:val="000000" w:themeColor="text1"/>
          <w:sz w:val="24"/>
          <w:szCs w:val="24"/>
          <w:highlight w:val="none"/>
          <w:lang w:bidi="ar"/>
          <w14:textFill>
            <w14:solidFill>
              <w14:schemeClr w14:val="tx1"/>
            </w14:solidFill>
          </w14:textFill>
        </w:rPr>
      </w:pPr>
      <w:r>
        <w:rPr>
          <w:rFonts w:ascii="宋体" w:hAnsi="宋体" w:eastAsia="宋体" w:cs="宋体"/>
          <w:color w:val="000000" w:themeColor="text1"/>
          <w:sz w:val="24"/>
          <w:szCs w:val="24"/>
          <w:highlight w:val="none"/>
          <w:lang w:bidi="ar"/>
          <w14:textFill>
            <w14:solidFill>
              <w14:schemeClr w14:val="tx1"/>
            </w14:solidFill>
          </w14:textFill>
        </w:rPr>
      </w:r>
      <w:r/>
    </w:p>
    <w:p>
      <w:pPr>
        <w:spacing w:line="360" w:lineRule="auto"/>
        <w:rPr>
          <w:rFonts w:hint="eastAsia"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r>
      <w:r/>
    </w:p>
    <w:p>
      <w:pPr>
        <w:spacing w:line="360" w:lineRule="auto"/>
        <w:rPr>
          <w:rFonts w:hint="eastAsia"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r>
      <w:r/>
    </w:p>
    <w:p>
      <w:pPr>
        <w:spacing w:line="360" w:lineRule="auto"/>
        <w:rPr>
          <w:rFonts w:hint="eastAsia"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r>
      <w:r/>
    </w:p>
    <w:p>
      <w:pPr>
        <w:spacing w:line="360" w:lineRule="auto"/>
        <w:rPr>
          <w:rFonts w:hint="eastAsia"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r>
      <w:r/>
    </w:p>
    <w:p>
      <w:pPr>
        <w:spacing w:line="360" w:lineRule="auto"/>
        <w:rPr>
          <w:rFonts w:hint="eastAsia"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hint="eastAsia" w:ascii="宋体" w:hAnsi="宋体" w:eastAsia="宋体"/>
          <w:b/>
          <w:color w:val="000000" w:themeColor="text1"/>
          <w:sz w:val="24"/>
          <w:szCs w:val="21"/>
          <w:highlight w:val="none"/>
          <w14:textFill>
            <w14:solidFill>
              <w14:schemeClr w14:val="tx1"/>
            </w14:solidFill>
          </w14:textFill>
        </w:rPr>
        <w:t xml:space="preserve">（2）投入本项目专用设备承诺书</w:t>
      </w:r>
      <w:r/>
    </w:p>
    <w:p>
      <w:pPr>
        <w:pStyle w:val="1128"/>
        <w:ind w:firstLine="0"/>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1244"/>
        <w:jc w:val="center"/>
        <w:spacing w:line="360" w:lineRule="auto"/>
        <w:rPr>
          <w:rFonts w:hint="default" w:hAnsi="宋体" w:eastAsia="宋体" w:cs="宋体"/>
          <w:b/>
          <w:color w:val="000000" w:themeColor="text1"/>
          <w:sz w:val="24"/>
          <w:szCs w:val="24"/>
          <w:highlight w:val="none"/>
          <w14:textFill>
            <w14:solidFill>
              <w14:schemeClr w14:val="tx1"/>
            </w14:solidFill>
          </w14:textFill>
        </w:rPr>
      </w:pPr>
      <w:r>
        <w:rPr>
          <w:rFonts w:hAnsi="宋体" w:eastAsia="宋体" w:cs="宋体"/>
          <w:b/>
          <w:color w:val="000000" w:themeColor="text1"/>
          <w:sz w:val="24"/>
          <w:szCs w:val="24"/>
          <w:highlight w:val="none"/>
          <w14:textFill>
            <w14:solidFill>
              <w14:schemeClr w14:val="tx1"/>
            </w14:solidFill>
          </w14:textFill>
        </w:rPr>
        <w:t xml:space="preserve">投入本项目专用设备承诺书</w:t>
      </w:r>
      <w:r/>
    </w:p>
    <w:p>
      <w:pPr>
        <w:pStyle w:val="1244"/>
        <w:spacing w:line="360" w:lineRule="auto"/>
        <w:rPr>
          <w:rFonts w:hint="default" w:hAnsi="宋体" w:eastAsiaTheme="minorEastAsia" w:cstheme="minorBidi"/>
          <w:b w:val="0"/>
          <w:bCs w:val="0"/>
          <w:color w:val="000000" w:themeColor="text1"/>
          <w:sz w:val="24"/>
          <w:szCs w:val="24"/>
          <w:highlight w:val="none"/>
          <w:u w:val="single"/>
          <w14:textFill>
            <w14:solidFill>
              <w14:schemeClr w14:val="tx1"/>
            </w14:solidFill>
          </w14:textFill>
        </w:rPr>
      </w:pPr>
      <w:r>
        <w:rPr>
          <w:rFonts w:hAnsi="宋体" w:eastAsiaTheme="minorEastAsia" w:cstheme="minorBidi"/>
          <w:b w:val="0"/>
          <w:bCs w:val="0"/>
          <w:color w:val="000000" w:themeColor="text1"/>
          <w:sz w:val="24"/>
          <w:szCs w:val="24"/>
          <w:highlight w:val="none"/>
          <w:u w:val="single"/>
          <w14:textFill>
            <w14:solidFill>
              <w14:schemeClr w14:val="tx1"/>
            </w14:solidFill>
          </w14:textFill>
        </w:rPr>
        <w:t xml:space="preserve">苏州华星工程造价咨询有限公司：</w:t>
      </w:r>
      <w:r/>
    </w:p>
    <w:p>
      <w:pPr>
        <w:ind w:firstLine="42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我们收到贵公司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号招标文件，经仔细阅读和研究，我司承诺：投入本项目专用设备的型号规格及配备数量、进场时间要求不低于招标文件</w:t>
      </w: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附件二《2026年园区抑尘服务项目信息一览表》</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hAnsi="宋体" w:eastAsia="宋体" w:cs="宋体"/>
          <w:color w:val="000000" w:themeColor="text1"/>
          <w:sz w:val="24"/>
          <w:szCs w:val="24"/>
          <w:highlight w:val="none"/>
          <w14:textFill>
            <w14:solidFill>
              <w14:schemeClr w14:val="tx1"/>
            </w14:solidFill>
          </w14:textFill>
        </w:rPr>
        <w:t xml:space="preserve">专用</w:t>
      </w:r>
      <w:r>
        <w:rPr>
          <w:rFonts w:hint="eastAsia" w:ascii="宋体" w:hAnsi="宋体" w:eastAsia="宋体" w:cs="宋体"/>
          <w:color w:val="000000" w:themeColor="text1"/>
          <w:sz w:val="24"/>
          <w:szCs w:val="24"/>
          <w:highlight w:val="none"/>
          <w14:textFill>
            <w14:solidFill>
              <w14:schemeClr w14:val="tx1"/>
            </w14:solidFill>
          </w14:textFill>
        </w:rPr>
        <w:t xml:space="preserve">设备配备要求。</w:t>
      </w:r>
      <w:r/>
    </w:p>
    <w:p>
      <w:pPr>
        <w:pStyle w:val="1135"/>
        <w:ind w:firstLine="48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若我司中标进场后，不提供或提供的</w:t>
      </w:r>
      <w:r>
        <w:rPr>
          <w:rFonts w:hint="eastAsia" w:hAnsi="宋体" w:eastAsia="宋体"/>
          <w:color w:val="000000" w:themeColor="text1"/>
          <w:sz w:val="24"/>
          <w:szCs w:val="24"/>
          <w:highlight w:val="none"/>
          <w14:textFill>
            <w14:solidFill>
              <w14:schemeClr w14:val="tx1"/>
            </w14:solidFill>
          </w14:textFill>
        </w:rPr>
        <w:t xml:space="preserve">专用设备配备</w:t>
      </w:r>
      <w:r>
        <w:rPr>
          <w:rFonts w:hint="eastAsia" w:hAnsi="宋体" w:eastAsia="宋体" w:cs="宋体"/>
          <w:color w:val="000000" w:themeColor="text1"/>
          <w:sz w:val="24"/>
          <w:szCs w:val="24"/>
          <w:highlight w:val="none"/>
          <w14:textFill>
            <w14:solidFill>
              <w14:schemeClr w14:val="tx1"/>
            </w14:solidFill>
          </w14:textFill>
        </w:rPr>
        <w:t xml:space="preserve">不符合招标文件要求的，采购人有权终止合同。</w:t>
      </w:r>
      <w:r/>
    </w:p>
    <w:p>
      <w:pPr>
        <w:pStyle w:val="1135"/>
        <w:ind w:firstLine="480"/>
        <w:spacing w:line="360" w:lineRule="auto"/>
        <w:rPr>
          <w:rFonts w:hAnsi="宋体" w:eastAsia="宋体" w:cs="宋体"/>
          <w:color w:val="000000" w:themeColor="text1"/>
          <w:sz w:val="24"/>
          <w:szCs w:val="24"/>
          <w:highlight w:val="none"/>
          <w14:textFill>
            <w14:solidFill>
              <w14:schemeClr w14:val="tx1"/>
            </w14:solidFill>
          </w14:textFill>
        </w:rPr>
      </w:pPr>
      <w:r>
        <w:rPr>
          <w:rFonts w:hint="eastAsia" w:hAnsi="宋体" w:eastAsia="宋体" w:cs="宋体"/>
          <w:color w:val="000000" w:themeColor="text1"/>
          <w:sz w:val="24"/>
          <w:szCs w:val="24"/>
          <w:highlight w:val="none"/>
          <w14:textFill>
            <w14:solidFill>
              <w14:schemeClr w14:val="tx1"/>
            </w14:solidFill>
          </w14:textFill>
        </w:rPr>
        <w:t xml:space="preserve">我司承诺，专用设备配备管理遵守采购人相关规定，如有违反，接受采购人对我司做出的相关扣款等违约处理。</w:t>
      </w:r>
      <w:r/>
    </w:p>
    <w:p>
      <w:pPr>
        <w:pStyle w:val="1135"/>
        <w:ind w:firstLine="480"/>
        <w:spacing w:line="360" w:lineRule="auto"/>
        <w:rPr>
          <w:rFonts w:hAnsi="宋体" w:eastAsia="宋体" w:cs="宋体"/>
          <w:color w:val="000000" w:themeColor="text1"/>
          <w:sz w:val="24"/>
          <w:szCs w:val="24"/>
          <w:highlight w:val="none"/>
          <w14:textFill>
            <w14:solidFill>
              <w14:schemeClr w14:val="tx1"/>
            </w14:solidFill>
          </w14:textFill>
        </w:rPr>
      </w:pPr>
      <w:r>
        <w:rPr>
          <w:rFonts w:hAnsi="宋体" w:eastAsia="宋体" w:cs="宋体"/>
          <w:color w:val="000000" w:themeColor="text1"/>
          <w:sz w:val="24"/>
          <w:szCs w:val="24"/>
          <w:highlight w:val="none"/>
          <w14:textFill>
            <w14:solidFill>
              <w14:schemeClr w14:val="tx1"/>
            </w14:solidFill>
          </w14:textFill>
        </w:rPr>
      </w:r>
      <w:r/>
    </w:p>
    <w:p>
      <w:pPr>
        <w:ind w:firstLine="482"/>
        <w:rPr>
          <w:rFonts w:ascii="宋体" w:hAnsi="宋体" w:eastAsia="宋体" w:cs="宋体"/>
          <w:b/>
          <w:color w:val="000000" w:themeColor="text1"/>
          <w:sz w:val="24"/>
          <w:szCs w:val="24"/>
          <w:highlight w:val="none"/>
          <w14:textFill>
            <w14:solidFill>
              <w14:schemeClr w14:val="tx1"/>
            </w14:solidFill>
          </w14:textFill>
        </w:rPr>
      </w:pPr>
      <w:r>
        <w:rPr>
          <w:rFonts w:hint="eastAsia" w:hAnsi="宋体" w:eastAsia="宋体" w:cs="宋体"/>
          <w:b/>
          <w:bCs/>
          <w:color w:val="000000" w:themeColor="text1"/>
          <w:sz w:val="24"/>
          <w:szCs w:val="24"/>
          <w:highlight w:val="none"/>
          <w14:textFill>
            <w14:solidFill>
              <w14:schemeClr w14:val="tx1"/>
            </w14:solidFill>
          </w14:textFill>
        </w:rPr>
        <w:t xml:space="preserve">以上特此承诺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right="105" w:firstLine="210"/>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right="420" w:firstLine="210"/>
        <w:jc w:val="right"/>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r>
      <w:r/>
    </w:p>
    <w:p>
      <w:pPr>
        <w:spacing w:line="240" w:lineRule="auto"/>
        <w:rPr>
          <w:rFonts w:ascii="宋体" w:hAnsi="宋体" w:eastAsia="宋体"/>
          <w:b/>
          <w:color w:val="000000" w:themeColor="text1"/>
          <w:sz w:val="24"/>
          <w:szCs w:val="21"/>
          <w:highlight w:val="none"/>
          <w14:textFill>
            <w14:solidFill>
              <w14:schemeClr w14:val="tx1"/>
            </w14:solidFill>
          </w14:textFill>
        </w:rPr>
        <w:outlineLvl w:val="9"/>
      </w:pPr>
      <w:r>
        <w:rPr>
          <w:rFonts w:ascii="宋体" w:hAnsi="宋体" w:eastAsia="宋体"/>
          <w:b/>
          <w:color w:val="000000" w:themeColor="text1"/>
          <w:sz w:val="24"/>
          <w:szCs w:val="21"/>
          <w:highlight w:val="none"/>
          <w14:textFill>
            <w14:solidFill>
              <w14:schemeClr w14:val="tx1"/>
            </w14:solidFill>
          </w14:textFill>
        </w:rPr>
        <w:br w:type="page" w:clear="all"/>
      </w:r>
      <w:r/>
    </w:p>
    <w:p>
      <w:pPr>
        <w:spacing w:line="360" w:lineRule="auto"/>
        <w:rPr>
          <w:rFonts w:ascii="宋体" w:hAnsi="宋体" w:eastAsia="宋体"/>
          <w:b/>
          <w:color w:val="000000" w:themeColor="text1"/>
          <w:sz w:val="24"/>
          <w:szCs w:val="21"/>
          <w:highlight w:val="none"/>
          <w14:textFill>
            <w14:solidFill>
              <w14:schemeClr w14:val="tx1"/>
            </w14:solidFill>
          </w14:textFill>
        </w:rPr>
        <w:outlineLvl w:val="1"/>
      </w:pPr>
      <w:r>
        <w:rPr>
          <w:rFonts w:ascii="宋体" w:hAnsi="宋体" w:eastAsia="宋体"/>
          <w:b/>
          <w:color w:val="000000" w:themeColor="text1"/>
          <w:sz w:val="24"/>
          <w:szCs w:val="21"/>
          <w:highlight w:val="none"/>
          <w14:textFill>
            <w14:solidFill>
              <w14:schemeClr w14:val="tx1"/>
            </w14:solidFill>
          </w14:textFill>
        </w:rPr>
        <w:t xml:space="preserve">1</w:t>
      </w:r>
      <w:r>
        <w:rPr>
          <w:rFonts w:hint="eastAsia" w:ascii="宋体" w:hAnsi="宋体" w:eastAsia="宋体"/>
          <w:b/>
          <w:color w:val="000000" w:themeColor="text1"/>
          <w:sz w:val="24"/>
          <w:szCs w:val="21"/>
          <w:highlight w:val="none"/>
          <w14:textFill>
            <w14:solidFill>
              <w14:schemeClr w14:val="tx1"/>
            </w14:solidFill>
          </w14:textFill>
        </w:rPr>
        <w:t xml:space="preserve">2</w:t>
      </w:r>
      <w:r>
        <w:rPr>
          <w:rFonts w:ascii="宋体" w:hAnsi="宋体" w:eastAsia="宋体"/>
          <w:b/>
          <w:color w:val="000000" w:themeColor="text1"/>
          <w:sz w:val="24"/>
          <w:szCs w:val="21"/>
          <w:highlight w:val="none"/>
          <w14:textFill>
            <w14:solidFill>
              <w14:schemeClr w14:val="tx1"/>
            </w14:solidFill>
          </w14:textFill>
        </w:rPr>
        <w:t xml:space="preserve">、项目组办公场所承诺书</w:t>
      </w:r>
      <w:r/>
    </w:p>
    <w:p>
      <w:pPr>
        <w:jc w:val="left"/>
        <w:spacing w:line="360" w:lineRule="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jc w:val="center"/>
        <w:spacing w:line="360" w:lineRule="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项目组办公场所承诺书</w:t>
      </w:r>
      <w:r/>
    </w:p>
    <w:p>
      <w:pPr>
        <w:jc w:val="left"/>
        <w:spacing w:line="360" w:lineRule="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pStyle w:val="121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244"/>
        <w:spacing w:line="360" w:lineRule="auto"/>
        <w:rPr>
          <w:rFonts w:hint="default" w:hAnsi="宋体" w:eastAsiaTheme="minorEastAsia" w:cstheme="minorBidi"/>
          <w:b w:val="0"/>
          <w:bCs w:val="0"/>
          <w:color w:val="000000" w:themeColor="text1"/>
          <w:sz w:val="24"/>
          <w:szCs w:val="24"/>
          <w:highlight w:val="none"/>
          <w:u w:val="single"/>
          <w14:textFill>
            <w14:solidFill>
              <w14:schemeClr w14:val="tx1"/>
            </w14:solidFill>
          </w14:textFill>
        </w:rPr>
      </w:pPr>
      <w:r>
        <w:rPr>
          <w:rFonts w:hAnsi="宋体" w:eastAsiaTheme="minorEastAsia" w:cstheme="minorBidi"/>
          <w:b w:val="0"/>
          <w:bCs w:val="0"/>
          <w:color w:val="000000" w:themeColor="text1"/>
          <w:sz w:val="24"/>
          <w:szCs w:val="24"/>
          <w:highlight w:val="none"/>
          <w:u w:val="single"/>
          <w14:textFill>
            <w14:solidFill>
              <w14:schemeClr w14:val="tx1"/>
            </w14:solidFill>
          </w14:textFill>
        </w:rPr>
        <w:t xml:space="preserve">苏州华星工程造价咨询有限公司：</w:t>
      </w:r>
      <w:r/>
    </w:p>
    <w:p>
      <w:pPr>
        <w:ind w:firstLine="516"/>
        <w:jc w:val="left"/>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本公司</w:t>
      </w:r>
      <w:r>
        <w:rPr>
          <w:rFonts w:ascii="宋体" w:hAnsi="宋体" w:eastAsia="宋体"/>
          <w:color w:val="000000" w:themeColor="text1"/>
          <w:sz w:val="24"/>
          <w:szCs w:val="24"/>
          <w:highlight w:val="none"/>
          <w14:textFill>
            <w14:solidFill>
              <w14:schemeClr w14:val="tx1"/>
            </w14:solidFill>
          </w14:textFill>
        </w:rPr>
        <w:t xml:space="preserve">收到</w:t>
      </w:r>
      <w:r>
        <w:rPr>
          <w:rFonts w:hint="eastAsia" w:ascii="宋体" w:hAnsi="宋体" w:eastAsia="宋体"/>
          <w:color w:val="000000" w:themeColor="text1"/>
          <w:sz w:val="24"/>
          <w:szCs w:val="24"/>
          <w:highlight w:val="none"/>
          <w14:textFill>
            <w14:solidFill>
              <w14:schemeClr w14:val="tx1"/>
            </w14:solidFill>
          </w14:textFill>
        </w:rPr>
        <w:t xml:space="preserve">贵司</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ascii="宋体" w:hAnsi="宋体" w:eastAsia="宋体"/>
          <w:color w:val="000000" w:themeColor="text1"/>
          <w:sz w:val="24"/>
          <w:szCs w:val="24"/>
          <w:highlight w:val="none"/>
          <w:u w:val="single"/>
          <w14:textFill>
            <w14:solidFill>
              <w14:schemeClr w14:val="tx1"/>
            </w14:solidFill>
          </w14:textFill>
        </w:rPr>
        <w:t xml:space="preserve">              号</w:t>
      </w:r>
      <w:r>
        <w:rPr>
          <w:rFonts w:ascii="宋体" w:hAnsi="宋体" w:eastAsia="宋体"/>
          <w:color w:val="000000" w:themeColor="text1"/>
          <w:sz w:val="24"/>
          <w:szCs w:val="24"/>
          <w:highlight w:val="none"/>
          <w14:textFill>
            <w14:solidFill>
              <w14:schemeClr w14:val="tx1"/>
            </w14:solidFill>
          </w14:textFill>
        </w:rPr>
        <w:t xml:space="preserve">招标文件，经仔细阅读和研究，</w:t>
      </w:r>
      <w:r>
        <w:rPr>
          <w:rFonts w:hint="eastAsia" w:ascii="宋体" w:hAnsi="宋体" w:eastAsia="宋体"/>
          <w:color w:val="000000" w:themeColor="text1"/>
          <w:sz w:val="24"/>
          <w:szCs w:val="24"/>
          <w:highlight w:val="none"/>
          <w14:textFill>
            <w14:solidFill>
              <w14:schemeClr w14:val="tx1"/>
            </w14:solidFill>
          </w14:textFill>
        </w:rPr>
        <w:t xml:space="preserve">本公司承诺：若本公司中标，</w:t>
      </w:r>
      <w:r>
        <w:rPr>
          <w:rFonts w:ascii="宋体" w:hAnsi="宋体" w:eastAsia="宋体"/>
          <w:color w:val="000000" w:themeColor="text1"/>
          <w:sz w:val="24"/>
          <w:szCs w:val="24"/>
          <w:highlight w:val="none"/>
          <w14:textFill>
            <w14:solidFill>
              <w14:schemeClr w14:val="tx1"/>
            </w14:solidFill>
          </w14:textFill>
        </w:rPr>
        <w:t xml:space="preserve">中标后在距项目5km范围内设有固定的项目组办公场所，办公场所面积不小于50平方米。相关证明材料须在进场核验时向采购单位提交。</w:t>
      </w:r>
      <w:r/>
    </w:p>
    <w:p>
      <w:pPr>
        <w:ind w:firstLine="516"/>
        <w:jc w:val="left"/>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24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13、项目经理类似业绩一览表(如有）</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项目经理类似业绩一览表</w:t>
      </w:r>
      <w:r/>
    </w:p>
    <w:tbl>
      <w:tblPr>
        <w:tblStyle w:val="11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1395"/>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1128"/>
              <w:ind w:firstLine="0"/>
              <w:jc w:val="center"/>
              <w:rPr>
                <w:rFonts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合同金额</w:t>
            </w:r>
            <w:r/>
          </w:p>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1128"/>
              <w:ind w:firstLine="0"/>
              <w:jc w:val="center"/>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提供发票金额（万元）</w:t>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合同履行完成时间</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bl>
    <w:p>
      <w:pPr>
        <w:spacing w:before="120"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before="120"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pStyle w:val="1138"/>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14、供应商类似业绩一览表</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供应商类似业绩一览表</w:t>
      </w:r>
      <w:r/>
    </w:p>
    <w:tbl>
      <w:tblPr>
        <w:tblStyle w:val="11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916"/>
        <w:gridCol w:w="1750"/>
        <w:gridCol w:w="1750"/>
        <w:gridCol w:w="1395"/>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1128"/>
              <w:ind w:firstLine="0"/>
              <w:jc w:val="center"/>
              <w:rPr>
                <w:rFonts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合同金额</w:t>
            </w:r>
            <w:r/>
          </w:p>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（万元）</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1128"/>
              <w:ind w:firstLine="0"/>
              <w:jc w:val="center"/>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提供发票金额（万元）</w:t>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合同履行完成时间</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tabs>
                <w:tab w:val="left" w:pos="6252" w:leader="none"/>
              </w:tabs>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916"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400" w:lineRule="exact"/>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tc>
      </w:tr>
    </w:tbl>
    <w:p>
      <w:pPr>
        <w:spacing w:before="120"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spacing w:before="120"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28"/>
        <w:ind w:firstLine="0"/>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15、资格证明文件</w:t>
      </w:r>
      <w:r/>
    </w:p>
    <w:p>
      <w:pPr>
        <w:pStyle w:val="1128"/>
        <w:ind w:firstLine="482"/>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2"/>
        <w:jc w:val="both"/>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(1)、关于资格文件的声明函</w:t>
      </w:r>
      <w:r/>
    </w:p>
    <w:p>
      <w:pPr>
        <w:pStyle w:val="1128"/>
        <w:ind w:firstLine="482"/>
        <w:rPr>
          <w:rFonts w:ascii="宋体" w:hAnsi="宋体" w:eastAsia="宋体" w:cs="宋体"/>
          <w:b/>
          <w:color w:val="000000" w:themeColor="text1"/>
          <w:szCs w:val="24"/>
          <w:highlight w:val="none"/>
          <w14:textFill>
            <w14:solidFill>
              <w14:schemeClr w14:val="tx1"/>
            </w14:solidFill>
          </w14:textFill>
        </w:rPr>
      </w:pPr>
      <w:r>
        <w:rPr>
          <w:rFonts w:ascii="宋体" w:hAnsi="宋体" w:eastAsia="宋体" w:cs="宋体"/>
          <w:b/>
          <w:color w:val="000000" w:themeColor="text1"/>
          <w:szCs w:val="24"/>
          <w:highlight w:val="none"/>
          <w14:textFill>
            <w14:solidFill>
              <w14:schemeClr w14:val="tx1"/>
            </w14:solidFill>
          </w14:textFill>
        </w:rPr>
      </w:r>
      <w:r/>
    </w:p>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jc w:val="center"/>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关于资格文件的声明函</w:t>
      </w:r>
      <w:r/>
    </w:p>
    <w:p>
      <w:pPr>
        <w:pStyle w:val="1128"/>
        <w:ind w:firstLine="480"/>
        <w:jc w:val="center"/>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hint="eastAsia" w:ascii="宋体" w:hAnsi="宋体" w:eastAsia="宋体" w:cs="宋体"/>
          <w:b w:val="0"/>
          <w:bCs/>
          <w:color w:val="000000" w:themeColor="text1"/>
          <w:spacing w:val="-7"/>
          <w:sz w:val="24"/>
          <w:szCs w:val="24"/>
          <w:highlight w:val="none"/>
          <w:u w:val="singl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苏州华星工程造价咨询有限公司</w:t>
      </w:r>
      <w:r>
        <w:rPr>
          <w:rFonts w:hint="eastAsia" w:ascii="宋体" w:hAnsi="宋体" w:eastAsia="宋体" w:cs="宋体"/>
          <w:b w:val="0"/>
          <w:bCs/>
          <w:color w:val="000000" w:themeColor="text1"/>
          <w:spacing w:val="-7"/>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pacing w:val="-7"/>
          <w:sz w:val="24"/>
          <w:szCs w:val="24"/>
          <w:highlight w:val="none"/>
          <w:u w:val="single"/>
          <w:lang w:eastAsia="zh-CN"/>
          <w14:textFill>
            <w14:solidFill>
              <w14:schemeClr w14:val="tx1"/>
            </w14:solidFill>
          </w14:textFill>
        </w:rPr>
        <w:t xml:space="preserve">：</w:t>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本公司愿就由贵公司组织实施的编号为</w:t>
      </w:r>
      <w:r>
        <w:rPr>
          <w:rFonts w:hint="eastAsia" w:ascii="宋体" w:hAnsi="宋体" w:eastAsia="宋体" w:cs="宋体"/>
          <w:color w:val="000000" w:themeColor="text1"/>
          <w:szCs w:val="24"/>
          <w:highlight w:val="none"/>
          <w:u w:val="single"/>
          <w14:textFill>
            <w14:solidFill>
              <w14:schemeClr w14:val="tx1"/>
            </w14:solidFill>
          </w14:textFill>
        </w:rPr>
        <w:t xml:space="preserve">           </w:t>
      </w:r>
      <w:r>
        <w:rPr>
          <w:rFonts w:hint="eastAsia" w:ascii="宋体" w:hAnsi="宋体" w:eastAsia="宋体" w:cs="宋体"/>
          <w:color w:val="000000" w:themeColor="text1"/>
          <w:szCs w:val="24"/>
          <w:highlight w:val="none"/>
          <w14:textFill>
            <w14:solidFill>
              <w14:schemeClr w14:val="tx1"/>
            </w14:solidFill>
          </w14:textFill>
        </w:rPr>
        <w:t xml:space="preserve">号的磋商采购活动进行响应。本公司所提交的磋商响应文件中所有关于磋商资格的文件、证明和陈述均是真实的、准确的。若与真实情况不符，本公司愿意承担由此而产生的一切后果。</w:t>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ab/>
      </w:r>
      <w:r>
        <w:rPr>
          <w:rFonts w:hint="eastAsia" w:ascii="宋体" w:hAnsi="宋体" w:eastAsia="宋体" w:cs="宋体"/>
          <w:color w:val="000000" w:themeColor="text1"/>
          <w:szCs w:val="24"/>
          <w:highlight w:val="none"/>
          <w14:textFill>
            <w14:solidFill>
              <w14:schemeClr w14:val="tx1"/>
            </w14:solidFill>
          </w14:textFill>
        </w:rPr>
        <w:tab/>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spacing w:line="400" w:lineRule="exact"/>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br w:type="page" w:clear="all"/>
      </w:r>
      <w:r/>
    </w:p>
    <w:p>
      <w:pPr>
        <w:pStyle w:val="1128"/>
        <w:ind w:firstLine="0"/>
        <w:rPr>
          <w:rFonts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 xml:space="preserve">(2)、磋商供应商情况表</w:t>
      </w:r>
      <w:r/>
    </w:p>
    <w:p>
      <w:pPr>
        <w:pStyle w:val="1128"/>
        <w:ind w:firstLine="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bl>
      <w:tblPr>
        <w:tblStyle w:val="1126"/>
        <w:tblW w:w="8782"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750"/>
      </w:tblGrid>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法定代表人</w:t>
            </w:r>
            <w:r/>
          </w:p>
        </w:tc>
        <w:tc>
          <w:tcPr>
            <w:tcW w:w="2005"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c>
          <w:tcPr>
            <w:tcW w:w="1461" w:type="dxa"/>
            <w:textDirection w:val="lrTb"/>
            <w:noWrap w:val="false"/>
          </w:tcPr>
          <w:p>
            <w:pPr>
              <w:pStyle w:val="1128"/>
              <w:ind w:firstLine="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成立日期</w:t>
            </w:r>
            <w:r/>
          </w:p>
        </w:tc>
        <w:tc>
          <w:tcPr>
            <w:gridSpan w:val="2"/>
            <w:tcW w:w="2806"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企业地址</w:t>
            </w:r>
            <w:r/>
          </w:p>
        </w:tc>
        <w:tc>
          <w:tcPr>
            <w:tcW w:w="2005"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c>
          <w:tcPr>
            <w:tcW w:w="1461" w:type="dxa"/>
            <w:textDirection w:val="lrTb"/>
            <w:noWrap w:val="false"/>
          </w:tcPr>
          <w:p>
            <w:pPr>
              <w:pStyle w:val="1128"/>
              <w:ind w:firstLine="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注册资本</w:t>
            </w:r>
            <w:r/>
          </w:p>
        </w:tc>
        <w:tc>
          <w:tcPr>
            <w:gridSpan w:val="2"/>
            <w:tcW w:w="2806" w:type="dxa"/>
            <w:textDirection w:val="lrTb"/>
            <w:noWrap w:val="false"/>
          </w:tcPr>
          <w:p>
            <w:pPr>
              <w:pStyle w:val="1128"/>
              <w:ind w:firstLine="16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万元</w:t>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经营范围</w:t>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职工人数</w:t>
            </w:r>
            <w:r/>
          </w:p>
        </w:tc>
        <w:tc>
          <w:tcPr>
            <w:tcW w:w="2005"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c>
          <w:tcPr>
            <w:gridSpan w:val="2"/>
            <w:tcW w:w="3517" w:type="dxa"/>
            <w:textDirection w:val="lrTb"/>
            <w:noWrap w:val="false"/>
          </w:tcPr>
          <w:p>
            <w:pPr>
              <w:pStyle w:val="1128"/>
              <w:ind w:firstLine="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其中：有中高级以上职称的人数</w:t>
            </w:r>
            <w:r/>
          </w:p>
        </w:tc>
        <w:tc>
          <w:tcPr>
            <w:tcW w:w="75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vAlign w:val="center"/>
            <w:textDirection w:val="lrTb"/>
            <w:noWrap w:val="false"/>
          </w:tcPr>
          <w:p>
            <w:pPr>
              <w:pStyle w:val="1128"/>
              <w:ind w:firstLine="48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资产总计</w:t>
            </w:r>
            <w:r/>
          </w:p>
        </w:tc>
        <w:tc>
          <w:tcPr>
            <w:tcW w:w="2005" w:type="dxa"/>
            <w:vAlign w:val="center"/>
            <w:textDirection w:val="lrTb"/>
            <w:noWrap w:val="false"/>
          </w:tcPr>
          <w:p>
            <w:pPr>
              <w:pStyle w:val="1128"/>
              <w:ind w:firstLine="480"/>
              <w:jc w:val="center"/>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万元</w:t>
            </w:r>
            <w:r/>
          </w:p>
        </w:tc>
        <w:tc>
          <w:tcPr>
            <w:tcW w:w="1461" w:type="dxa"/>
            <w:vAlign w:val="center"/>
            <w:textDirection w:val="lrTb"/>
            <w:noWrap w:val="false"/>
          </w:tcPr>
          <w:p>
            <w:pPr>
              <w:pStyle w:val="1128"/>
              <w:ind w:firstLine="48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净资产</w:t>
            </w:r>
            <w:r/>
          </w:p>
        </w:tc>
        <w:tc>
          <w:tcPr>
            <w:gridSpan w:val="2"/>
            <w:tcW w:w="2806" w:type="dxa"/>
            <w:vAlign w:val="center"/>
            <w:textDirection w:val="lrTb"/>
            <w:noWrap w:val="false"/>
          </w:tcPr>
          <w:p>
            <w:pPr>
              <w:pStyle w:val="1128"/>
              <w:ind w:firstLine="480"/>
              <w:jc w:val="center"/>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万元</w:t>
            </w:r>
            <w:r/>
          </w:p>
        </w:tc>
      </w:tr>
      <w:tr>
        <w:trPr>
          <w:cantSplit/>
        </w:trPr>
        <w:tc>
          <w:tcPr>
            <w:tcW w:w="2510" w:type="dxa"/>
            <w:vAlign w:val="center"/>
            <w:textDirection w:val="lrTb"/>
            <w:noWrap w:val="false"/>
          </w:tcPr>
          <w:p>
            <w:pPr>
              <w:pStyle w:val="1128"/>
              <w:ind w:firstLine="48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股东权益</w:t>
            </w:r>
            <w:r/>
          </w:p>
        </w:tc>
        <w:tc>
          <w:tcPr>
            <w:tcW w:w="2005" w:type="dxa"/>
            <w:vAlign w:val="center"/>
            <w:textDirection w:val="lrTb"/>
            <w:noWrap w:val="false"/>
          </w:tcPr>
          <w:p>
            <w:pPr>
              <w:pStyle w:val="1128"/>
              <w:ind w:firstLine="480"/>
              <w:jc w:val="center"/>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万元</w:t>
            </w:r>
            <w:r/>
          </w:p>
        </w:tc>
        <w:tc>
          <w:tcPr>
            <w:tcW w:w="1461" w:type="dxa"/>
            <w:vAlign w:val="center"/>
            <w:textDirection w:val="lrTb"/>
            <w:noWrap w:val="false"/>
          </w:tcPr>
          <w:p>
            <w:pPr>
              <w:pStyle w:val="1128"/>
              <w:ind w:firstLine="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销售收入</w:t>
            </w:r>
            <w:r/>
          </w:p>
        </w:tc>
        <w:tc>
          <w:tcPr>
            <w:gridSpan w:val="2"/>
            <w:tcW w:w="2806" w:type="dxa"/>
            <w:vAlign w:val="center"/>
            <w:textDirection w:val="lrTb"/>
            <w:noWrap w:val="false"/>
          </w:tcPr>
          <w:p>
            <w:pPr>
              <w:pStyle w:val="1128"/>
              <w:ind w:firstLine="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2024或2025年</w:t>
            </w:r>
            <w:r/>
          </w:p>
          <w:p>
            <w:pPr>
              <w:pStyle w:val="1128"/>
              <w:ind w:firstLine="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 万元</w:t>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实现利润</w:t>
            </w:r>
            <w:r/>
          </w:p>
        </w:tc>
        <w:tc>
          <w:tcPr>
            <w:tcW w:w="2005" w:type="dxa"/>
            <w:textDirection w:val="lrTb"/>
            <w:noWrap w:val="false"/>
          </w:tcPr>
          <w:p>
            <w:pPr>
              <w:pStyle w:val="1128"/>
              <w:ind w:left="960" w:hanging="96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2024或2025年     万元</w:t>
            </w:r>
            <w:r/>
          </w:p>
        </w:tc>
        <w:tc>
          <w:tcPr>
            <w:tcW w:w="1461"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c>
          <w:tcPr>
            <w:gridSpan w:val="2"/>
            <w:tcW w:w="2806"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营业面积（含厂房面积）</w:t>
            </w:r>
            <w:r/>
          </w:p>
        </w:tc>
        <w:tc>
          <w:tcPr>
            <w:tcW w:w="2005" w:type="dxa"/>
            <w:vAlign w:val="center"/>
            <w:textDirection w:val="lrTb"/>
            <w:noWrap w:val="false"/>
          </w:tcPr>
          <w:p>
            <w:pPr>
              <w:pStyle w:val="1128"/>
              <w:ind w:firstLine="720"/>
              <w:jc w:val="both"/>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平方米</w:t>
            </w:r>
            <w:r/>
          </w:p>
        </w:tc>
        <w:tc>
          <w:tcPr>
            <w:tcW w:w="1461"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其中：</w:t>
            </w:r>
            <w:r/>
          </w:p>
        </w:tc>
        <w:tc>
          <w:tcPr>
            <w:gridSpan w:val="2"/>
            <w:tcW w:w="2806" w:type="dxa"/>
            <w:textDirection w:val="lrTb"/>
            <w:noWrap w:val="false"/>
          </w:tcPr>
          <w:p>
            <w:pPr>
              <w:pStyle w:val="1128"/>
              <w:ind w:firstLine="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自有面积：   平方米</w:t>
            </w:r>
            <w:r/>
          </w:p>
          <w:p>
            <w:pPr>
              <w:pStyle w:val="1128"/>
              <w:ind w:firstLine="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承租面积：   平方米</w:t>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单位简历及内设机构情况</w:t>
            </w:r>
            <w:r/>
          </w:p>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单位优势及特长</w:t>
            </w:r>
            <w:r/>
          </w:p>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近三年来完成或正在履行的重大合同情况</w:t>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最近2年内在经营过程中受到何种奖励或处分（包括稽查情况和结果）</w:t>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最近3年内有无因售假、售劣或是其他原因被消费者投诉或起诉的情况及说明（包括解决方式和结果）</w:t>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最近3年内主要负责人有无因经济犯罪被司法机关追究的情况及说明</w:t>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r>
        <w:trPr>
          <w:cantSplit/>
          <w:trHeight w:val="560"/>
        </w:trPr>
        <w:tc>
          <w:tcPr>
            <w:tcW w:w="2510"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其他需要说明的情况</w:t>
            </w:r>
            <w:r/>
          </w:p>
        </w:tc>
        <w:tc>
          <w:tcPr>
            <w:gridSpan w:val="4"/>
            <w:tcW w:w="6272" w:type="dxa"/>
            <w:textDirection w:val="lrTb"/>
            <w:noWrap w:val="false"/>
          </w:tcPr>
          <w:p>
            <w:pPr>
              <w:pStyle w:val="1128"/>
              <w:ind w:firstLine="480"/>
              <w:rPr>
                <w:rFonts w:ascii="宋体" w:hAnsi="宋体" w:eastAsia="宋体" w:cs="宋体"/>
                <w:color w:val="000000" w:themeColor="text1"/>
                <w:szCs w:val="24"/>
                <w:highlight w:val="none"/>
                <w14:textFill>
                  <w14:solidFill>
                    <w14:schemeClr w14:val="tx1"/>
                  </w14:solidFill>
                </w14:textFill>
              </w:rPr>
            </w:pPr>
            <w:r>
              <w:rPr>
                <w:rFonts w:ascii="宋体" w:hAnsi="宋体" w:eastAsia="宋体" w:cs="宋体"/>
                <w:color w:val="000000" w:themeColor="text1"/>
                <w:szCs w:val="24"/>
                <w:highlight w:val="none"/>
                <w14:textFill>
                  <w14:solidFill>
                    <w14:schemeClr w14:val="tx1"/>
                  </w14:solidFill>
                </w14:textFill>
              </w:rPr>
            </w:r>
            <w:r/>
          </w:p>
        </w:tc>
      </w:tr>
    </w:tbl>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57"/>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1157"/>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spacing w:line="360" w:lineRule="auto"/>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（3）中小企业声明函</w:t>
      </w:r>
      <w:r/>
    </w:p>
    <w:p>
      <w:pPr>
        <w:ind w:firstLine="482"/>
        <w:jc w:val="center"/>
        <w:spacing w:line="360" w:lineRule="auto"/>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中小企业声明函</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（单位名称）                   </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（项目名称）                        </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1.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（标的名称）                      </w:t>
      </w:r>
      <w:r>
        <w:rPr>
          <w:rFonts w:hint="eastAsia" w:ascii="宋体" w:hAnsi="宋体" w:eastAsia="宋体" w:cs="宋体"/>
          <w:bCs/>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其他未列明行业</w:t>
      </w:r>
      <w:r>
        <w:rPr>
          <w:rFonts w:hint="eastAsia" w:ascii="宋体" w:hAnsi="宋体" w:eastAsia="宋体" w:cs="宋体"/>
          <w:bCs/>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（企业名称）                       </w:t>
      </w:r>
      <w:r>
        <w:rPr>
          <w:rFonts w:hint="eastAsia" w:ascii="宋体" w:hAnsi="宋体" w:eastAsia="宋体" w:cs="宋体"/>
          <w:b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（中型企业、小型企业、微型企业，三者选其一）</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ascii="宋体" w:hAnsi="宋体" w:eastAsia="宋体" w:cs="宋体"/>
          <w:b/>
          <w:bCs/>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ind w:firstLine="482"/>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482"/>
        <w:jc w:val="left"/>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2、若供应商提供的“中小企业声明函”内容不实的，属于提供虚假材料谋取中标、成交，依照《中华人民共和国政府采购法》等国家有关规定追究相应责任。</w:t>
      </w:r>
      <w:r/>
    </w:p>
    <w:p>
      <w:pPr>
        <w:ind w:firstLine="482"/>
        <w:jc w:val="left"/>
        <w:widowControl/>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pStyle w:val="1150"/>
        <w:ind w:left="520"/>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0"/>
        <w:jc w:val="left"/>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（4）残疾人福利性单位声明函</w:t>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82"/>
        <w:jc w:val="center"/>
        <w:widowControl/>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残疾人福利性单位声明函</w:t>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spacing w:line="400" w:lineRule="exact"/>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___单位的_____项目采购活动提供本单位制造的货物（由本单位承担工程/提供服务），或者提供其他残疾人福利性单位制造的货物（不包括使用非残疾人福利性单位注册商标的货物）。</w:t>
      </w:r>
      <w:r/>
    </w:p>
    <w:p>
      <w:pPr>
        <w:jc w:val="left"/>
        <w:spacing w:line="400" w:lineRule="exac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spacing w:line="400" w:lineRule="exact"/>
        <w:widowControl/>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本单位对上述声明的真实性负责。如有虚假，将依法承担相应责任。</w:t>
      </w:r>
      <w:r/>
    </w:p>
    <w:p>
      <w:pPr>
        <w:jc w:val="left"/>
        <w:spacing w:line="400" w:lineRule="exac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jc w:val="left"/>
        <w:spacing w:line="400" w:lineRule="exac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2"/>
        <w:jc w:val="left"/>
        <w:widowControl/>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964"/>
        <w:jc w:val="left"/>
        <w:spacing w:line="360" w:lineRule="auto"/>
        <w:widowControl/>
        <w:rPr>
          <w:rFonts w:ascii="宋体" w:hAnsi="宋体" w:eastAsia="宋体" w:cs="宋体"/>
          <w:b/>
          <w:color w:val="000000" w:themeColor="text1"/>
          <w:sz w:val="24"/>
          <w:szCs w:val="24"/>
          <w:highlight w:val="none"/>
          <w:u w:val="single"/>
          <w14:textFill>
            <w14:solidFill>
              <w14:schemeClr w14:val="tx1"/>
            </w14:solidFill>
          </w14:textFill>
        </w:rPr>
      </w:pPr>
      <w:r>
        <w:rPr>
          <w:rFonts w:ascii="宋体" w:hAnsi="宋体" w:eastAsia="宋体" w:cs="宋体"/>
          <w:b/>
          <w:color w:val="000000" w:themeColor="text1"/>
          <w:sz w:val="24"/>
          <w:szCs w:val="24"/>
          <w:highlight w:val="none"/>
          <w:u w:val="single"/>
          <w14:textFill>
            <w14:solidFill>
              <w14:schemeClr w14:val="tx1"/>
            </w14:solidFill>
          </w14:textFill>
        </w:rPr>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widowControl/>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jc w:val="left"/>
        <w:widowControl/>
        <w:rPr>
          <w:rFonts w:ascii="宋体" w:hAnsi="宋体" w:eastAsia="宋体" w:cs="宋体"/>
          <w:color w:val="000000" w:themeColor="text1"/>
          <w:sz w:val="24"/>
          <w:szCs w:val="24"/>
          <w:highlight w:val="none"/>
          <w:u w:val="single"/>
          <w14:textFill>
            <w14:solidFill>
              <w14:schemeClr w14:val="tx1"/>
            </w14:solidFill>
          </w14:textFill>
        </w:rPr>
      </w:pPr>
      <w:r>
        <w:rPr>
          <w:rFonts w:ascii="宋体" w:hAnsi="宋体" w:eastAsia="宋体" w:cs="宋体"/>
          <w:color w:val="000000" w:themeColor="text1"/>
          <w:sz w:val="24"/>
          <w:szCs w:val="24"/>
          <w:highlight w:val="none"/>
          <w:u w:val="single"/>
          <w14:textFill>
            <w14:solidFill>
              <w14:schemeClr w14:val="tx1"/>
            </w14:solidFill>
          </w14:textFill>
        </w:rPr>
      </w:r>
      <w:r/>
    </w:p>
    <w:p>
      <w:pPr>
        <w:jc w:val="left"/>
        <w:widowControl/>
        <w:rPr>
          <w:rFonts w:ascii="宋体" w:hAnsi="宋体" w:eastAsia="宋体" w:cs="宋体"/>
          <w:color w:val="000000" w:themeColor="text1"/>
          <w:sz w:val="24"/>
          <w:szCs w:val="24"/>
          <w:highlight w:val="none"/>
          <w:u w:val="single"/>
          <w14:textFill>
            <w14:solidFill>
              <w14:schemeClr w14:val="tx1"/>
            </w14:solidFill>
          </w14:textFill>
        </w:rPr>
      </w:pPr>
      <w:r>
        <w:rPr>
          <w:rFonts w:ascii="宋体" w:hAnsi="宋体" w:eastAsia="宋体" w:cs="宋体"/>
          <w:color w:val="000000" w:themeColor="text1"/>
          <w:sz w:val="24"/>
          <w:szCs w:val="24"/>
          <w:highlight w:val="none"/>
          <w:u w:val="single"/>
          <w14:textFill>
            <w14:solidFill>
              <w14:schemeClr w14:val="tx1"/>
            </w14:solidFill>
          </w14:textFill>
        </w:rPr>
      </w:r>
      <w:r/>
    </w:p>
    <w:p>
      <w:pPr>
        <w:jc w:val="left"/>
        <w:widowControl/>
        <w:rPr>
          <w:rFonts w:ascii="宋体" w:hAnsi="宋体" w:eastAsia="宋体" w:cs="宋体"/>
          <w:color w:val="000000" w:themeColor="text1"/>
          <w:sz w:val="24"/>
          <w:szCs w:val="24"/>
          <w:highlight w:val="none"/>
          <w:u w:val="single"/>
          <w14:textFill>
            <w14:solidFill>
              <w14:schemeClr w14:val="tx1"/>
            </w14:solidFill>
          </w14:textFill>
        </w:rPr>
      </w:pPr>
      <w:r>
        <w:rPr>
          <w:rFonts w:ascii="宋体" w:hAnsi="宋体" w:eastAsia="宋体" w:cs="宋体"/>
          <w:color w:val="000000" w:themeColor="text1"/>
          <w:sz w:val="24"/>
          <w:szCs w:val="24"/>
          <w:highlight w:val="none"/>
          <w:u w:val="single"/>
          <w14:textFill>
            <w14:solidFill>
              <w14:schemeClr w14:val="tx1"/>
            </w14:solidFill>
          </w14:textFill>
        </w:rPr>
      </w:r>
      <w:r/>
    </w:p>
    <w:p>
      <w:pPr>
        <w:jc w:val="left"/>
        <w:widowControl/>
        <w:rPr>
          <w:rFonts w:ascii="宋体" w:hAnsi="宋体" w:eastAsia="宋体" w:cs="宋体"/>
          <w:color w:val="000000" w:themeColor="text1"/>
          <w:sz w:val="24"/>
          <w:szCs w:val="24"/>
          <w:highlight w:val="none"/>
          <w:u w:val="single"/>
          <w14:textFill>
            <w14:solidFill>
              <w14:schemeClr w14:val="tx1"/>
            </w14:solidFill>
          </w14:textFill>
        </w:rPr>
      </w:pPr>
      <w:r>
        <w:rPr>
          <w:rFonts w:ascii="宋体" w:hAnsi="宋体" w:eastAsia="宋体" w:cs="宋体"/>
          <w:color w:val="000000" w:themeColor="text1"/>
          <w:sz w:val="24"/>
          <w:szCs w:val="24"/>
          <w:highlight w:val="none"/>
          <w:u w:val="single"/>
          <w14:textFill>
            <w14:solidFill>
              <w14:schemeClr w14:val="tx1"/>
            </w14:solidFill>
          </w14:textFill>
        </w:rPr>
      </w:r>
      <w:r/>
    </w:p>
    <w:p>
      <w:pPr>
        <w:pStyle w:val="1150"/>
        <w:ind w:left="520" w:firstLine="480"/>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p>
      <w:pP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482"/>
        <w:widowControl/>
        <w:rPr>
          <w:rFonts w:ascii="宋体" w:hAnsi="宋体" w:eastAsia="宋体" w:cs="宋体"/>
          <w:b/>
          <w:bCs/>
          <w:color w:val="000000" w:themeColor="text1"/>
          <w:sz w:val="24"/>
          <w:szCs w:val="24"/>
          <w:highlight w:val="none"/>
          <w:lang w:val="en-US"/>
          <w14:textFill>
            <w14:solidFill>
              <w14:schemeClr w14:val="tx1"/>
            </w14:solidFill>
          </w14:textFill>
        </w:rPr>
      </w:pPr>
      <w:r/>
      <w:bookmarkStart w:id="48" w:name="_Toc291668810"/>
      <w:r/>
      <w:bookmarkStart w:id="49" w:name="_Toc13642115"/>
      <w:r/>
      <w:r/>
    </w:p>
    <w:p>
      <w:pPr>
        <w:ind w:firstLine="482"/>
        <w:widowControl/>
        <w:rPr>
          <w:rFonts w:ascii="宋体" w:hAnsi="宋体" w:eastAsia="宋体" w:cs="宋体"/>
          <w:b/>
          <w:bCs/>
          <w:color w:val="000000" w:themeColor="text1"/>
          <w:sz w:val="24"/>
          <w:szCs w:val="24"/>
          <w:highlight w:val="none"/>
          <w:lang w:val="en-US"/>
          <w14:textFill>
            <w14:solidFill>
              <w14:schemeClr w14:val="tx1"/>
            </w14:solidFill>
          </w14:textFill>
        </w:rPr>
      </w:pPr>
      <w:r>
        <w:rPr>
          <w:rFonts w:ascii="宋体" w:hAnsi="宋体" w:eastAsia="宋体" w:cs="宋体"/>
          <w:b/>
          <w:bCs/>
          <w:color w:val="000000" w:themeColor="text1"/>
          <w:sz w:val="24"/>
          <w:szCs w:val="24"/>
          <w:highlight w:val="none"/>
          <w:lang w:val="en-US"/>
          <w14:textFill>
            <w14:solidFill>
              <w14:schemeClr w14:val="tx1"/>
            </w14:solidFill>
          </w14:textFill>
        </w:rPr>
      </w:r>
      <w:r/>
    </w:p>
    <w:p>
      <w:pPr>
        <w:pStyle w:val="1156"/>
        <w:ind w:firstLine="482"/>
        <w:rPr>
          <w:rFonts w:hAnsi="宋体" w:cs="宋体"/>
          <w:b/>
          <w:bCs/>
          <w:color w:val="000000" w:themeColor="text1"/>
          <w:sz w:val="24"/>
          <w:szCs w:val="24"/>
          <w:highlight w:val="none"/>
          <w:lang w:val="en-US"/>
          <w14:textFill>
            <w14:solidFill>
              <w14:schemeClr w14:val="tx1"/>
            </w14:solidFill>
          </w14:textFill>
        </w:rPr>
      </w:pPr>
      <w:r>
        <w:rPr>
          <w:rFonts w:hAnsi="宋体" w:cs="宋体"/>
          <w:b/>
          <w:bCs/>
          <w:color w:val="000000" w:themeColor="text1"/>
          <w:sz w:val="24"/>
          <w:szCs w:val="24"/>
          <w:highlight w:val="none"/>
          <w:lang w:val="en-US"/>
          <w14:textFill>
            <w14:solidFill>
              <w14:schemeClr w14:val="tx1"/>
            </w14:solidFill>
          </w14:textFill>
        </w:rPr>
      </w:r>
      <w:r/>
    </w:p>
    <w:p>
      <w:pPr>
        <w:rPr>
          <w:rFonts w:ascii="宋体" w:hAnsi="宋体" w:eastAsia="宋体" w:cs="宋体"/>
          <w:b/>
          <w:bCs/>
          <w:color w:val="000000" w:themeColor="text1"/>
          <w:sz w:val="24"/>
          <w:szCs w:val="24"/>
          <w:highlight w:val="none"/>
          <w:lang w:val="en-US"/>
          <w14:textFill>
            <w14:solidFill>
              <w14:schemeClr w14:val="tx1"/>
            </w14:solidFill>
          </w14:textFill>
        </w:rPr>
      </w:pPr>
      <w:r>
        <w:rPr>
          <w:rFonts w:ascii="宋体" w:hAnsi="宋体" w:eastAsia="宋体" w:cs="宋体"/>
          <w:b/>
          <w:bCs/>
          <w:color w:val="000000" w:themeColor="text1"/>
          <w:sz w:val="24"/>
          <w:szCs w:val="24"/>
          <w:highlight w:val="none"/>
          <w:lang w:val="en-US"/>
          <w14:textFill>
            <w14:solidFill>
              <w14:schemeClr w14:val="tx1"/>
            </w14:solidFill>
          </w14:textFill>
        </w:rPr>
      </w:r>
      <w:r/>
    </w:p>
    <w:p>
      <w:pPr>
        <w:pStyle w:val="1156"/>
        <w:ind w:firstLine="482"/>
        <w:rPr>
          <w:rFonts w:hAnsi="宋体" w:cs="宋体"/>
          <w:b/>
          <w:bCs/>
          <w:color w:val="000000" w:themeColor="text1"/>
          <w:sz w:val="24"/>
          <w:szCs w:val="24"/>
          <w:highlight w:val="none"/>
          <w:lang w:val="en-US"/>
          <w14:textFill>
            <w14:solidFill>
              <w14:schemeClr w14:val="tx1"/>
            </w14:solidFill>
          </w14:textFill>
        </w:rPr>
      </w:pPr>
      <w:r>
        <w:rPr>
          <w:rFonts w:hAnsi="宋体" w:cs="宋体"/>
          <w:b/>
          <w:bCs/>
          <w:color w:val="000000" w:themeColor="text1"/>
          <w:sz w:val="24"/>
          <w:szCs w:val="24"/>
          <w:highlight w:val="none"/>
          <w:lang w:val="en-US"/>
          <w14:textFill>
            <w14:solidFill>
              <w14:schemeClr w14:val="tx1"/>
            </w14:solidFill>
          </w14:textFill>
        </w:rPr>
      </w:r>
      <w:r/>
    </w:p>
    <w:p>
      <w:pPr>
        <w:rPr>
          <w:color w:val="000000" w:themeColor="text1"/>
          <w:highlight w:val="none"/>
          <w:lang w:val="en-US"/>
          <w14:textFill>
            <w14:solidFill>
              <w14:schemeClr w14:val="tx1"/>
            </w14:solidFill>
          </w14:textFill>
        </w:rPr>
      </w:pPr>
      <w:r>
        <w:rPr>
          <w:color w:val="000000" w:themeColor="text1"/>
          <w:highlight w:val="none"/>
          <w:lang w:val="en-US"/>
          <w14:textFill>
            <w14:solidFill>
              <w14:schemeClr w14:val="tx1"/>
            </w14:solidFill>
          </w14:textFill>
        </w:rPr>
      </w:r>
      <w:r/>
    </w:p>
    <w:p>
      <w:pPr>
        <w:spacing w:line="360" w:lineRule="auto"/>
        <w:rPr>
          <w:color w:val="000000" w:themeColor="text1"/>
          <w:szCs w:val="24"/>
          <w:highlight w:val="none"/>
          <w14:textFill>
            <w14:solidFill>
              <w14:schemeClr w14:val="tx1"/>
            </w14:solidFill>
          </w14:textFill>
        </w:rPr>
      </w:pPr>
      <w:r>
        <w:rPr>
          <w:rFonts w:hint="eastAsia" w:ascii="宋体" w:hAnsi="宋体" w:eastAsia="宋体"/>
          <w:b/>
          <w:color w:val="000000" w:themeColor="text1"/>
          <w:sz w:val="24"/>
          <w:highlight w:val="none"/>
          <w:shd w:val="clear" w:color="auto" w:fill="ffffff"/>
          <w14:textFill>
            <w14:solidFill>
              <w14:schemeClr w14:val="tx1"/>
            </w14:solidFill>
          </w14:textFill>
        </w:rPr>
        <w:t xml:space="preserve">（5）、关于符合本国产品标准的声明函</w:t>
      </w:r>
      <w:r>
        <w:rPr>
          <w:color w:val="000000" w:themeColor="text1"/>
          <w:highlight w:val="none"/>
          <w14:textFill>
            <w14:solidFill>
              <w14:schemeClr w14:val="tx1"/>
            </w14:solidFill>
          </w14:textFill>
        </w:rPr>
        <w:t xml:space="preserve"> </w:t>
      </w:r>
      <w:r/>
    </w:p>
    <w:p>
      <w:pPr>
        <w:numPr>
          <w:ilvl w:val="0"/>
          <w:numId w:val="0"/>
        </w:numPr>
        <w:jc w:val="center"/>
        <w:spacing w:line="360" w:lineRule="auto"/>
        <w:widowControl w:val="off"/>
        <w:rPr>
          <w:color w:val="000000" w:themeColor="text1"/>
          <w:highlight w:val="none"/>
          <w14:textFill>
            <w14:solidFill>
              <w14:schemeClr w14:val="tx1"/>
            </w14:solidFill>
          </w14:textFill>
        </w:rPr>
      </w:pPr>
      <w:r>
        <w:rPr>
          <w:rFonts w:hint="eastAsia" w:ascii="宋体" w:hAnsi="宋体" w:eastAsia="宋体" w:cs="Times New Roman"/>
          <w:b/>
          <w:color w:val="000000" w:themeColor="text1"/>
          <w:sz w:val="24"/>
          <w:szCs w:val="20"/>
          <w:highlight w:val="none"/>
          <w:shd w:val="clear" w:color="auto" w:fill="ffffff"/>
          <w14:textFill>
            <w14:solidFill>
              <w14:schemeClr w14:val="tx1"/>
            </w14:solidFill>
          </w14:textFill>
        </w:rPr>
        <w:t xml:space="preserve">关于符合本国产品标准的声明函</w:t>
      </w:r>
      <w:r/>
    </w:p>
    <w:p>
      <w:pPr>
        <w:pStyle w:val="1146"/>
        <w:ind w:left="0" w:right="0" w:firstLine="420"/>
        <w:keepLines w:val="0"/>
        <w:keepNext w:val="0"/>
        <w:spacing w:before="0" w:beforeAutospacing="0" w:after="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6"/>
        <w:ind w:left="0" w:firstLine="420"/>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在中国境内完成。</w:t>
      </w:r>
      <w:r/>
    </w:p>
    <w:p>
      <w:pPr>
        <w:pStyle w:val="1146"/>
        <w:ind w:left="0" w:firstLine="420"/>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在中国境内完成。</w:t>
      </w:r>
      <w:r/>
    </w:p>
    <w:p>
      <w:pPr>
        <w:pStyle w:val="1146"/>
        <w:ind w:left="0" w:firstLine="420"/>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pStyle w:val="1146"/>
        <w:ind w:left="0" w:firstLine="420"/>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146"/>
        <w:keepLines w:val="0"/>
        <w:keepNext w:val="0"/>
        <w:spacing w:before="30" w:beforeAutospacing="0" w:after="30" w:afterAutospacing="0" w:line="0" w:lineRule="atLeast"/>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shd w:val="clear" w:color="auto" w:fill="ffffff"/>
          <w14:textFill>
            <w14:solidFill>
              <w14:schemeClr w14:val="tx1"/>
            </w14:solidFill>
          </w14:textFill>
        </w:rPr>
        <w:t xml:space="preserve"> </w:t>
      </w:r>
      <w:r/>
    </w:p>
    <w:p>
      <w:pPr>
        <w:pStyle w:val="1146"/>
        <w:jc w:val="right"/>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公司（单位）名称（加盖CA电子公章）：         </w:t>
      </w:r>
      <w:r/>
    </w:p>
    <w:p>
      <w:pPr>
        <w:pStyle w:val="1146"/>
        <w:jc w:val="center"/>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日期：      年   月   日         </w:t>
      </w:r>
      <w:r/>
    </w:p>
    <w:p>
      <w:pPr>
        <w:pStyle w:val="1146"/>
        <w:keepLines w:val="0"/>
        <w:keepNext w:val="0"/>
        <w:spacing w:before="30" w:beforeAutospacing="0" w:after="30" w:afterAutospacing="0" w:line="0" w:lineRule="atLeast"/>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shd w:val="clear" w:color="auto" w:fill="ffffff"/>
          <w14:textFill>
            <w14:solidFill>
              <w14:schemeClr w14:val="tx1"/>
            </w14:solidFill>
          </w14:textFill>
        </w:rPr>
        <w:t xml:space="preserve"> </w:t>
      </w:r>
      <w:r/>
    </w:p>
    <w:p>
      <w:pPr>
        <w:pStyle w:val="1146"/>
        <w:keepLines w:val="0"/>
        <w:keepNext w:val="0"/>
        <w:spacing w:before="30" w:beforeAutospacing="0" w:after="30" w:afterAutospacing="0" w:line="0" w:lineRule="atLeast"/>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shd w:val="clear" w:color="auto" w:fill="ffffff"/>
          <w14:textFill>
            <w14:solidFill>
              <w14:schemeClr w14:val="tx1"/>
            </w14:solidFill>
          </w14:textFill>
        </w:rPr>
        <w:t xml:space="preserve"> </w:t>
      </w:r>
      <w:r/>
    </w:p>
    <w:p>
      <w:pPr>
        <w:pStyle w:val="1146"/>
        <w:keepLines w:val="0"/>
        <w:keepNext w:val="0"/>
        <w:spacing w:before="30" w:beforeAutospacing="0" w:after="30" w:afterAutospacing="0" w:line="0" w:lineRule="atLeast"/>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_________________</w:t>
      </w:r>
      <w:r/>
    </w:p>
    <w:p>
      <w:pPr>
        <w:pStyle w:val="1146"/>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pStyle w:val="1146"/>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p>
    <w:p>
      <w:pPr>
        <w:pStyle w:val="1146"/>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146"/>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4.该产品的关键组件要求实施前，“关键组件”栏可不填，下同。</w:t>
      </w:r>
      <w:r/>
    </w:p>
    <w:p>
      <w:pPr>
        <w:pStyle w:val="1146"/>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5.该产品的关键工序要求实施前，“关键工序”栏可不填，下同。</w:t>
      </w:r>
      <w:r/>
    </w:p>
    <w:p>
      <w:pPr>
        <w:pStyle w:val="1146"/>
        <w:keepLines w:val="0"/>
        <w:keepNext w:val="0"/>
        <w:spacing w:before="30" w:beforeAutospacing="0" w:after="30" w:afterAutospacing="0" w:line="360" w:lineRule="auto"/>
        <w:shd w:val="clear" w:color="auto" w:fill="ffffff"/>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6.《声明函》中标注“</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  /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”的地方无需填写。</w:t>
      </w:r>
      <w:r/>
    </w:p>
    <w:p>
      <w:pPr>
        <w:jc w:val="left"/>
        <w:spacing w:line="360" w:lineRule="auto"/>
        <w:rPr>
          <w:rFonts w:ascii="宋体" w:hAnsi="宋体" w:eastAsia="宋体" w:cs="Times New Roman"/>
          <w:color w:val="000000" w:themeColor="text1"/>
          <w:sz w:val="30"/>
          <w:szCs w:val="30"/>
          <w:highlight w:val="none"/>
          <w:shd w:val="clear" w:color="auto" w:fill="ffffff"/>
          <w14:textFill>
            <w14:solidFill>
              <w14:schemeClr w14:val="tx1"/>
            </w14:solidFill>
          </w14:textFill>
        </w:rPr>
      </w:pPr>
      <w:r>
        <w:rPr>
          <w:rFonts w:ascii="宋体" w:hAnsi="宋体" w:eastAsia="宋体" w:cs="Times New Roman"/>
          <w:color w:val="000000" w:themeColor="text1"/>
          <w:sz w:val="30"/>
          <w:szCs w:val="30"/>
          <w:highlight w:val="none"/>
          <w:shd w:val="clear" w:color="auto" w:fill="ffffff"/>
          <w14:textFill>
            <w14:solidFill>
              <w14:schemeClr w14:val="tx1"/>
            </w14:solidFill>
          </w14:textFill>
        </w:rPr>
      </w:r>
      <w:r/>
    </w:p>
    <w:p>
      <w:pPr>
        <w:ind w:firstLine="0"/>
        <w:jc w:val="both"/>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br w:type="page" w:clear="all"/>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关于无法提供所有者权益变动表的书面说明</w:t>
      </w:r>
      <w:r/>
    </w:p>
    <w:p>
      <w:pPr>
        <w:ind w:firstLine="482"/>
        <w:jc w:val="left"/>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482"/>
        <w:jc w:val="center"/>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关于无法提供所有者权益变动表的书面说明</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苏州</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华星工程造价咨询</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有限公司：</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我方已收到贵方</w:t>
      </w:r>
      <w:r>
        <w:rPr>
          <w:rFonts w:hint="eastAsia" w:ascii="宋体" w:hAnsi="宋体" w:eastAsia="宋体" w:cs="宋体"/>
          <w:b w:val="0"/>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 xml:space="preserve">号采购文件，经仔细阅读与研究，现就其中关于提供所有者权益变动表的要求说明如下：</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我方系执行《小企业会计准则》的小微企业。根据该准则及有关规定，我司无需编制和提供所有者权益变动表。</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以上特此说明。</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ind w:firstLine="480"/>
        <w:jc w:val="left"/>
        <w:keepLines w:val="0"/>
        <w:keepNext w:val="0"/>
        <w:pageBreakBefore w:val="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r>
      <w:r/>
    </w:p>
    <w:p>
      <w:pPr>
        <w:jc w:val="left"/>
        <w:spacing w:line="240" w:lineRule="auto"/>
        <w:rPr>
          <w:rFonts w:ascii="宋体" w:hAnsi="宋体" w:eastAsia="宋体" w:cs="宋体"/>
          <w:b/>
          <w:bCs/>
          <w:color w:val="000000" w:themeColor="text1"/>
          <w:sz w:val="24"/>
          <w:szCs w:val="24"/>
          <w:highlight w:val="none"/>
          <w:lang w:val="zh-CN"/>
          <w14:textFill>
            <w14:solidFill>
              <w14:schemeClr w14:val="tx1"/>
            </w14:solidFill>
          </w14:textFill>
        </w:rPr>
      </w:pPr>
      <w:r>
        <w:rPr>
          <w:rFonts w:ascii="宋体" w:hAnsi="宋体" w:eastAsia="宋体" w:cs="宋体"/>
          <w:b/>
          <w:bCs/>
          <w:color w:val="000000" w:themeColor="text1"/>
          <w:sz w:val="24"/>
          <w:szCs w:val="24"/>
          <w:highlight w:val="none"/>
          <w:lang w:val="zh-CN"/>
          <w14:textFill>
            <w14:solidFill>
              <w14:schemeClr w14:val="tx1"/>
            </w14:solidFill>
          </w14:textFill>
        </w:rPr>
      </w:r>
      <w:r/>
    </w:p>
    <w:p>
      <w:pPr>
        <w:jc w:val="left"/>
        <w:spacing w:line="360" w:lineRule="auto"/>
        <w:rPr>
          <w:rFonts w:ascii="宋体" w:hAnsi="宋体" w:eastAsia="宋体"/>
          <w:b/>
          <w:color w:val="000000" w:themeColor="text1"/>
          <w:sz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b/>
          <w:bCs/>
          <w:color w:val="000000" w:themeColor="text1"/>
          <w:sz w:val="24"/>
          <w:szCs w:val="24"/>
          <w:highlight w:val="none"/>
          <w14:textFill>
            <w14:solidFill>
              <w14:schemeClr w14:val="tx1"/>
            </w14:solidFill>
          </w14:textFill>
        </w:rPr>
        <w:t xml:space="preserve">6</w:t>
      </w:r>
      <w:r>
        <w:rPr>
          <w:rFonts w:hint="eastAsia" w:ascii="宋体" w:hAnsi="宋体" w:eastAsia="宋体" w:cs="宋体"/>
          <w:b/>
          <w:bCs/>
          <w:color w:val="000000" w:themeColor="text1"/>
          <w:sz w:val="24"/>
          <w:szCs w:val="24"/>
          <w:highlight w:val="none"/>
          <w:lang w:val="zh-CN"/>
          <w14:textFill>
            <w14:solidFill>
              <w14:schemeClr w14:val="tx1"/>
            </w14:solidFill>
          </w14:textFill>
        </w:rPr>
        <w:t xml:space="preserve">、</w:t>
      </w:r>
      <w:r>
        <w:rPr>
          <w:rFonts w:hint="eastAsia" w:ascii="宋体" w:hAnsi="宋体" w:eastAsia="宋体"/>
          <w:b/>
          <w:color w:val="000000" w:themeColor="text1"/>
          <w:sz w:val="24"/>
          <w:highlight w:val="none"/>
          <w:shd w:val="clear" w:color="auto" w:fill="ffffff"/>
          <w14:textFill>
            <w14:solidFill>
              <w14:schemeClr w14:val="tx1"/>
            </w14:solidFill>
          </w14:textFill>
        </w:rPr>
        <w:t xml:space="preserve">供应商与其他单位存在直接控股、管理关系情况表</w:t>
      </w:r>
      <w:r/>
    </w:p>
    <w:p>
      <w:pPr>
        <w:jc w:val="center"/>
        <w:spacing w:line="360" w:lineRule="auto"/>
        <w:widowControl/>
        <w:rPr>
          <w:rFonts w:ascii="宋体" w:hAnsi="宋体" w:eastAsia="宋体"/>
          <w:b/>
          <w:color w:val="000000" w:themeColor="text1"/>
          <w:sz w:val="24"/>
          <w:highlight w:val="none"/>
          <w:shd w:val="clear" w:color="auto" w:fill="ffffff"/>
          <w14:textFill>
            <w14:solidFill>
              <w14:schemeClr w14:val="tx1"/>
            </w14:solidFill>
          </w14:textFill>
        </w:rPr>
      </w:pPr>
      <w:r>
        <w:rPr>
          <w:rFonts w:ascii="宋体" w:hAnsi="宋体" w:eastAsia="宋体"/>
          <w:b/>
          <w:color w:val="000000" w:themeColor="text1"/>
          <w:sz w:val="24"/>
          <w:highlight w:val="none"/>
          <w:shd w:val="clear" w:color="auto" w:fill="ffffff"/>
          <w14:textFill>
            <w14:solidFill>
              <w14:schemeClr w14:val="tx1"/>
            </w14:solidFill>
          </w14:textFill>
        </w:rPr>
      </w:r>
      <w:r/>
    </w:p>
    <w:p>
      <w:pPr>
        <w:jc w:val="center"/>
        <w:spacing w:line="360" w:lineRule="auto"/>
        <w:widowControl/>
        <w:rPr>
          <w:rFonts w:ascii="宋体" w:hAnsi="宋体" w:eastAsia="宋体"/>
          <w:b/>
          <w:color w:val="000000" w:themeColor="text1"/>
          <w:szCs w:val="21"/>
          <w:highlight w:val="none"/>
          <w:shd w:val="clear" w:color="auto" w:fill="ffffff"/>
          <w14:textFill>
            <w14:solidFill>
              <w14:schemeClr w14:val="tx1"/>
            </w14:solidFill>
          </w14:textFill>
        </w:rPr>
      </w:pPr>
      <w:r>
        <w:rPr>
          <w:rFonts w:hint="eastAsia" w:ascii="宋体" w:hAnsi="宋体" w:eastAsia="宋体"/>
          <w:b/>
          <w:color w:val="000000" w:themeColor="text1"/>
          <w:sz w:val="24"/>
          <w:highlight w:val="none"/>
          <w:shd w:val="clear" w:color="auto" w:fill="ffffff"/>
          <w14:textFill>
            <w14:solidFill>
              <w14:schemeClr w14:val="tx1"/>
            </w14:solidFill>
          </w14:textFill>
        </w:rPr>
        <w:t xml:space="preserve">供应商与其他单位存在直接控股、管理关系情况表</w:t>
      </w:r>
      <w:r/>
    </w:p>
    <w:p>
      <w:pPr>
        <w:ind w:firstLine="520"/>
        <w:rPr>
          <w:rFonts w:ascii="宋体" w:hAnsi="宋体" w:eastAsia="宋体"/>
          <w:color w:val="000000" w:themeColor="text1"/>
          <w:highlight w:val="none"/>
          <w:shd w:val="clear" w:color="auto" w:fill="ffffff"/>
          <w14:textFill>
            <w14:solidFill>
              <w14:schemeClr w14:val="tx1"/>
            </w14:solidFill>
          </w14:textFill>
        </w:rPr>
      </w:pPr>
      <w:r>
        <w:rPr>
          <w:rFonts w:hint="eastAsia" w:ascii="宋体" w:hAnsi="宋体" w:eastAsia="宋体"/>
          <w:color w:val="000000" w:themeColor="text1"/>
          <w:highlight w:val="none"/>
          <w:shd w:val="clear" w:color="auto" w:fill="ffffff"/>
          <w14:textFill>
            <w14:solidFill>
              <w14:schemeClr w14:val="tx1"/>
            </w14:solidFill>
          </w14:textFill>
        </w:rPr>
        <w:t xml:space="preserve">单位名称：</w:t>
      </w:r>
      <w:r/>
    </w:p>
    <w:tbl>
      <w:tblPr>
        <w:tblStyle w:val="11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6"/>
        <w:gridCol w:w="1467"/>
        <w:gridCol w:w="1303"/>
        <w:gridCol w:w="1290"/>
        <w:gridCol w:w="1188"/>
        <w:gridCol w:w="1440"/>
        <w:gridCol w:w="937"/>
      </w:tblGrid>
      <w:tr>
        <w:trPr>
          <w:jc w:val="center"/>
          <w:trHeight w:val="766"/>
        </w:trPr>
        <w:tc>
          <w:tcPr>
            <w:gridSpan w:val="4"/>
            <w:tcW w:w="0" w:type="auto"/>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hint="eastAsia" w:ascii="宋体" w:hAnsi="宋体" w:eastAsia="宋体"/>
                <w:b/>
                <w:color w:val="000000" w:themeColor="text1"/>
                <w:szCs w:val="21"/>
                <w:highlight w:val="none"/>
                <w:shd w:val="clear" w:color="auto" w:fill="ffffff"/>
                <w14:textFill>
                  <w14:solidFill>
                    <w14:schemeClr w14:val="tx1"/>
                  </w14:solidFill>
                </w14:textFill>
              </w:rPr>
              <w:t xml:space="preserve">与供应商存在直接股权关系</w:t>
            </w:r>
            <w:r/>
          </w:p>
        </w:tc>
        <w:tc>
          <w:tcPr>
            <w:gridSpan w:val="3"/>
            <w:tcW w:w="0" w:type="auto"/>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hint="eastAsia" w:ascii="宋体" w:hAnsi="宋体" w:eastAsia="宋体"/>
                <w:b/>
                <w:color w:val="000000" w:themeColor="text1"/>
                <w:szCs w:val="21"/>
                <w:highlight w:val="none"/>
                <w:shd w:val="clear" w:color="auto" w:fill="ffffff"/>
                <w14:textFill>
                  <w14:solidFill>
                    <w14:schemeClr w14:val="tx1"/>
                  </w14:solidFill>
                </w14:textFill>
              </w:rPr>
              <w:t xml:space="preserve">与供应商存在直接管理关系</w:t>
            </w:r>
            <w:r/>
          </w:p>
        </w:tc>
      </w:tr>
      <w:tr>
        <w:trPr>
          <w:jc w:val="center"/>
          <w:trHeight w:val="991"/>
        </w:trPr>
        <w:tc>
          <w:tcPr>
            <w:tcW w:w="1436" w:type="dxa"/>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单位名称</w:t>
            </w:r>
            <w:r/>
          </w:p>
        </w:tc>
        <w:tc>
          <w:tcPr>
            <w:tcW w:w="1467" w:type="dxa"/>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是否为大型企业</w:t>
            </w:r>
            <w:r/>
          </w:p>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（填写“是”或 “否”）</w:t>
            </w:r>
            <w:r/>
          </w:p>
        </w:tc>
        <w:tc>
          <w:tcPr>
            <w:tcW w:w="1303" w:type="dxa"/>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是否直接控股</w:t>
            </w:r>
            <w:r/>
          </w:p>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（填写“是”或 “否”）</w:t>
            </w:r>
            <w:r/>
          </w:p>
        </w:tc>
        <w:tc>
          <w:tcPr>
            <w:tcW w:w="1290" w:type="dxa"/>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直接控股关系情况说明（持股比例等）</w:t>
            </w:r>
            <w:r/>
          </w:p>
        </w:tc>
        <w:tc>
          <w:tcPr>
            <w:tcW w:w="1188" w:type="dxa"/>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单位名称</w:t>
            </w:r>
            <w:r/>
          </w:p>
        </w:tc>
        <w:tc>
          <w:tcPr>
            <w:tcW w:w="1440" w:type="dxa"/>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是否为大型企业</w:t>
            </w:r>
            <w:r/>
          </w:p>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（填写“是”或 “否”）</w:t>
            </w:r>
            <w:r/>
          </w:p>
        </w:tc>
        <w:tc>
          <w:tcPr>
            <w:tcW w:w="0" w:type="auto"/>
            <w:vAlign w:val="center"/>
            <w:textDirection w:val="lrTb"/>
            <w:noWrap w:val="false"/>
          </w:tcPr>
          <w:p>
            <w:pPr>
              <w:jc w:val="center"/>
              <w:widowControl/>
              <w:rPr>
                <w:rFonts w:ascii="宋体" w:hAnsi="宋体" w:eastAsia="宋体"/>
                <w:b/>
                <w:color w:val="000000" w:themeColor="text1"/>
                <w:sz w:val="18"/>
                <w:szCs w:val="18"/>
                <w:highlight w:val="none"/>
                <w:shd w:val="clear" w:color="auto" w:fill="ffffff"/>
                <w14:textFill>
                  <w14:solidFill>
                    <w14:schemeClr w14:val="tx1"/>
                  </w14:solidFill>
                </w14:textFill>
              </w:rPr>
            </w:pPr>
            <w:r>
              <w:rPr>
                <w:rFonts w:hint="eastAsia" w:ascii="宋体" w:hAnsi="宋体" w:eastAsia="宋体"/>
                <w:b/>
                <w:color w:val="000000" w:themeColor="text1"/>
                <w:sz w:val="18"/>
                <w:szCs w:val="18"/>
                <w:highlight w:val="none"/>
                <w:shd w:val="clear" w:color="auto" w:fill="ffffff"/>
                <w14:textFill>
                  <w14:solidFill>
                    <w14:schemeClr w14:val="tx1"/>
                  </w14:solidFill>
                </w14:textFill>
              </w:rPr>
              <w:t xml:space="preserve">直接管理关系情况说明</w:t>
            </w:r>
            <w:r/>
          </w:p>
        </w:tc>
      </w:tr>
      <w:tr>
        <w:trPr>
          <w:jc w:val="center"/>
          <w:trHeight w:val="850"/>
        </w:trPr>
        <w:tc>
          <w:tcPr>
            <w:tcW w:w="1436"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67"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303"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29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188"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4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r>
      <w:tr>
        <w:trPr>
          <w:jc w:val="center"/>
          <w:trHeight w:val="850"/>
        </w:trPr>
        <w:tc>
          <w:tcPr>
            <w:tcW w:w="1436"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67"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303"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29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188"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4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r>
      <w:tr>
        <w:trPr>
          <w:jc w:val="center"/>
          <w:trHeight w:val="850"/>
        </w:trPr>
        <w:tc>
          <w:tcPr>
            <w:tcW w:w="1436"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67"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303"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29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188"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4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r>
      <w:tr>
        <w:trPr>
          <w:jc w:val="center"/>
          <w:trHeight w:val="850"/>
        </w:trPr>
        <w:tc>
          <w:tcPr>
            <w:tcW w:w="1436"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67"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303"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29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188"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1440" w:type="dxa"/>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c>
          <w:tcPr>
            <w:tcW w:w="0" w:type="auto"/>
            <w:vAlign w:val="center"/>
            <w:textDirection w:val="lrTb"/>
            <w:noWrap w:val="false"/>
          </w:tcPr>
          <w:p>
            <w:pPr>
              <w:jc w:val="center"/>
              <w:widowControl/>
              <w:rPr>
                <w:rFonts w:ascii="宋体" w:hAnsi="宋体" w:eastAsia="宋体"/>
                <w:b/>
                <w:color w:val="000000" w:themeColor="text1"/>
                <w:szCs w:val="21"/>
                <w:highlight w:val="none"/>
                <w:shd w:val="clear" w:color="auto" w:fill="ffffff"/>
                <w14:textFill>
                  <w14:solidFill>
                    <w14:schemeClr w14:val="tx1"/>
                  </w14:solidFill>
                </w14:textFill>
              </w:rPr>
            </w:pPr>
            <w:r>
              <w:rPr>
                <w:rFonts w:ascii="宋体" w:hAnsi="宋体" w:eastAsia="宋体"/>
                <w:b/>
                <w:color w:val="000000" w:themeColor="text1"/>
                <w:szCs w:val="21"/>
                <w:highlight w:val="none"/>
                <w:shd w:val="clear" w:color="auto" w:fill="ffffff"/>
                <w14:textFill>
                  <w14:solidFill>
                    <w14:schemeClr w14:val="tx1"/>
                  </w14:solidFill>
                </w14:textFill>
              </w:rPr>
            </w:r>
            <w:r/>
          </w:p>
        </w:tc>
      </w:tr>
    </w:tbl>
    <w:p>
      <w:pPr>
        <w:ind w:firstLine="566"/>
        <w:spacing w:line="360" w:lineRule="auto"/>
        <w:rPr>
          <w:rFonts w:ascii="宋体" w:hAnsi="宋体" w:eastAsia="宋体"/>
          <w:b/>
          <w:color w:val="000000" w:themeColor="text1"/>
          <w:sz w:val="24"/>
          <w:szCs w:val="24"/>
          <w:highlight w:val="none"/>
          <w:shd w:val="clear" w:color="auto" w:fill="ffffff"/>
          <w14:textFill>
            <w14:solidFill>
              <w14:schemeClr w14:val="tx1"/>
            </w14:solidFill>
          </w14:textFill>
        </w:rPr>
      </w:pPr>
      <w:r>
        <w:rPr>
          <w:rFonts w:hint="eastAsia" w:ascii="宋体" w:hAnsi="宋体" w:eastAsia="宋体"/>
          <w:b/>
          <w:color w:val="000000" w:themeColor="text1"/>
          <w:sz w:val="24"/>
          <w:szCs w:val="24"/>
          <w:highlight w:val="none"/>
          <w:shd w:val="clear" w:color="auto" w:fill="ffffff"/>
          <w14:textFill>
            <w14:solidFill>
              <w14:schemeClr w14:val="tx1"/>
            </w14:solidFill>
          </w14:textFill>
        </w:rPr>
        <w:t xml:space="preserve">注：1、本表仅须填写与供应商存在直接股权、管理关系的企业情况。供应商应按上表要求据实填写</w:t>
      </w:r>
      <w:r>
        <w:rPr>
          <w:rFonts w:hint="eastAsia" w:ascii="宋体" w:hAnsi="宋体" w:eastAsia="宋体"/>
          <w:b/>
          <w:color w:val="000000" w:themeColor="text1"/>
          <w:sz w:val="24"/>
          <w:highlight w:val="none"/>
          <w:shd w:val="clear" w:color="auto" w:fill="ffffff"/>
          <w14:textFill>
            <w14:solidFill>
              <w14:schemeClr w14:val="tx1"/>
            </w14:solidFill>
          </w14:textFill>
        </w:rPr>
        <w:t xml:space="preserve">，</w:t>
      </w:r>
      <w:r>
        <w:rPr>
          <w:rFonts w:hint="eastAsia" w:ascii="宋体" w:hAnsi="宋体" w:eastAsia="宋体"/>
          <w:b/>
          <w:color w:val="000000" w:themeColor="text1"/>
          <w:sz w:val="24"/>
          <w:szCs w:val="24"/>
          <w:highlight w:val="none"/>
          <w:shd w:val="clear" w:color="auto" w:fill="ffffff"/>
          <w14:textFill>
            <w14:solidFill>
              <w14:schemeClr w14:val="tx1"/>
            </w14:solidFill>
          </w14:textFill>
        </w:rPr>
        <w:t xml:space="preserve">如填写“无”或不填写，均视为供应商声明不存在有关情形。</w:t>
      </w:r>
      <w:r/>
    </w:p>
    <w:p>
      <w:pPr>
        <w:pStyle w:val="1133"/>
        <w:ind w:left="520" w:firstLine="613"/>
        <w:spacing w:line="360" w:lineRule="auto"/>
        <w:rPr>
          <w:color w:val="000000" w:themeColor="text1"/>
          <w:highlight w:val="none"/>
          <w14:textFill>
            <w14:solidFill>
              <w14:schemeClr w14:val="tx1"/>
            </w14:solidFill>
          </w14:textFill>
        </w:rPr>
      </w:pPr>
      <w:r>
        <w:rPr>
          <w:rFonts w:hint="eastAsia" w:ascii="宋体" w:hAnsi="宋体" w:eastAsia="宋体"/>
          <w:b/>
          <w:color w:val="000000" w:themeColor="text1"/>
          <w:szCs w:val="24"/>
          <w:highlight w:val="none"/>
          <w:shd w:val="clear" w:color="auto" w:fill="ffffff"/>
          <w14:textFill>
            <w14:solidFill>
              <w14:schemeClr w14:val="tx1"/>
            </w14:solidFill>
          </w14:textFill>
        </w:rPr>
        <w:t xml:space="preserve">2、其中“直接控股”是指供应商与大型企业之间存在直接投资并控股（非普通持股）的关系。</w:t>
      </w:r>
      <w:r/>
    </w:p>
    <w:p>
      <w:pPr>
        <w:rPr>
          <w:rFonts w:ascii="宋体" w:hAnsi="宋体" w:eastAsia="宋体"/>
          <w:color w:val="000000" w:themeColor="text1"/>
          <w:sz w:val="30"/>
          <w:szCs w:val="30"/>
          <w:highlight w:val="none"/>
          <w:shd w:val="clear" w:color="auto" w:fill="ffffff"/>
          <w14:textFill>
            <w14:solidFill>
              <w14:schemeClr w14:val="tx1"/>
            </w14:solidFill>
          </w14:textFill>
        </w:rPr>
      </w:pPr>
      <w:r>
        <w:rPr>
          <w:rFonts w:ascii="宋体" w:hAnsi="宋体" w:eastAsia="宋体"/>
          <w:color w:val="000000" w:themeColor="text1"/>
          <w:sz w:val="30"/>
          <w:szCs w:val="30"/>
          <w:highlight w:val="none"/>
          <w:shd w:val="clear" w:color="auto" w:fill="ffffff"/>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供应商名称：（加盖CA电子公章）</w:t>
      </w:r>
      <w:r/>
    </w:p>
    <w:p>
      <w:pPr>
        <w:ind w:firstLine="480"/>
        <w:jc w:val="right"/>
        <w:spacing w:line="360" w:lineRule="auto"/>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 xml:space="preserve">日期：　　　年　　月　　日</w:t>
      </w:r>
      <w:r/>
    </w:p>
    <w:p>
      <w:pPr>
        <w:rPr>
          <w:rFonts w:ascii="宋体" w:hAnsi="宋体" w:eastAsia="宋体"/>
          <w:color w:val="000000" w:themeColor="text1"/>
          <w:sz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br w:type="page" w:clear="all"/>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bookmarkEnd w:id="48"/>
      <w:r/>
      <w:bookmarkEnd w:id="49"/>
      <w:r/>
      <w:r/>
    </w:p>
    <w:p>
      <w:pPr>
        <w:pStyle w:val="112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121"/>
        <w:jc w:val="cente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1121"/>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磋商采购内容</w:t>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ind w:firstLine="562"/>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b/>
          <w:color w:val="000000" w:themeColor="text1"/>
          <w:sz w:val="28"/>
          <w:szCs w:val="28"/>
          <w:highlight w:val="none"/>
          <w14:textFill>
            <w14:solidFill>
              <w14:schemeClr w14:val="tx1"/>
            </w14:solidFill>
          </w14:textFill>
        </w:rPr>
      </w:pPr>
      <w:r>
        <w:rPr>
          <w:rFonts w:ascii="宋体" w:hAnsi="宋体" w:eastAsia="宋体" w:cs="宋体"/>
          <w:b/>
          <w:color w:val="000000" w:themeColor="text1"/>
          <w:sz w:val="28"/>
          <w:szCs w:val="28"/>
          <w:highlight w:val="none"/>
          <w14:textFill>
            <w14:solidFill>
              <w14:schemeClr w14:val="tx1"/>
            </w14:solidFill>
          </w14:textFill>
        </w:rPr>
      </w:r>
      <w:r/>
    </w:p>
    <w:p>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磋商采购内容</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苏州华星工程造价咨询有限公司受苏州工业园区综合行政执法局的委托，就其所需的</w:t>
      </w:r>
      <w:r>
        <w:rPr>
          <w:rFonts w:hint="eastAsia" w:ascii="宋体" w:hAnsi="宋体" w:eastAsia="宋体" w:cs="宋体"/>
          <w:color w:val="000000" w:themeColor="text1"/>
          <w:sz w:val="24"/>
          <w:szCs w:val="24"/>
          <w:highlight w:val="none"/>
          <w14:textFill>
            <w14:solidFill>
              <w14:schemeClr w14:val="tx1"/>
            </w14:solidFill>
          </w14:textFill>
        </w:rPr>
        <w:t xml:space="preserve">2026年园区抑尘服务</w:t>
      </w:r>
      <w:r>
        <w:rPr>
          <w:rFonts w:hint="eastAsia" w:ascii="宋体" w:hAnsi="宋体" w:eastAsia="宋体" w:cs="宋体"/>
          <w:color w:val="000000" w:themeColor="text1"/>
          <w:sz w:val="24"/>
          <w:szCs w:val="24"/>
          <w:highlight w:val="none"/>
          <w14:textFill>
            <w14:solidFill>
              <w14:schemeClr w14:val="tx1"/>
            </w14:solidFill>
          </w14:textFill>
        </w:rPr>
        <w:t xml:space="preserve">采用竞争性磋商方式进行采购，欢迎有资格的磋商供应商前来参加本次磋商采购。</w:t>
      </w:r>
      <w:r/>
    </w:p>
    <w:p>
      <w:pPr>
        <w:ind w:firstLine="482"/>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b/>
          <w:bCs/>
          <w:color w:val="000000" w:themeColor="text1"/>
          <w:sz w:val="24"/>
          <w:szCs w:val="24"/>
          <w:highlight w:val="none"/>
          <w14:textFill>
            <w14:solidFill>
              <w14:schemeClr w14:val="tx1"/>
            </w14:solidFill>
          </w14:textFill>
        </w:rPr>
        <w:t xml:space="preserve">一、采购编号</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JSZC-320591-HXZJ-C2026-0010</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二、项目概况</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(一)服务内容</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采用抑尘车对园区部分道路进行雾炮抑尘作业，具体作业时间及要求详见附件三《机械化作业管理要求》。</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（二）服务范围</w:t>
      </w:r>
      <w:r/>
    </w:p>
    <w:p>
      <w:pPr>
        <w:ind w:firstLine="48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苏州工业园区部分道路，详见附件一《作业清单》</w:t>
      </w:r>
      <w:r/>
    </w:p>
    <w:p>
      <w:pPr>
        <w:ind w:firstLine="482"/>
        <w:spacing w:line="360" w:lineRule="auto"/>
        <w:rPr>
          <w:rFonts w:ascii="宋体" w:hAnsi="宋体" w:eastAsia="宋体" w:cs="宋体"/>
          <w:b/>
          <w:bCs/>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14:textFill>
            <w14:solidFill>
              <w14:schemeClr w14:val="tx1"/>
            </w14:solidFill>
          </w14:textFill>
        </w:rPr>
        <w:t xml:space="preserve">（三）服务期限</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24个月（计划进场日期为2026年6月11日至2028年6月10日，实际进场日期以采购人书面通知为准）。</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outlineLvl w:val="1"/>
      </w:pPr>
      <w:r>
        <w:rPr>
          <w:rFonts w:hint="eastAsia" w:ascii="宋体" w:hAnsi="宋体" w:eastAsia="宋体" w:cs="宋体"/>
          <w:b/>
          <w:color w:val="000000" w:themeColor="text1"/>
          <w:sz w:val="24"/>
          <w:szCs w:val="24"/>
          <w:highlight w:val="none"/>
          <w14:textFill>
            <w14:solidFill>
              <w14:schemeClr w14:val="tx1"/>
            </w14:solidFill>
          </w14:textFill>
        </w:rPr>
        <w:t xml:space="preserve">三、服务要求及考核</w:t>
      </w:r>
      <w:r/>
    </w:p>
    <w:p>
      <w:pPr>
        <w:ind w:firstLine="480"/>
        <w:spacing w:line="360" w:lineRule="auto"/>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件三《机械化作业管理要求》、附件四《项目组配置及岗位要求》、附件五《管理信息系统要求》、附件六《作业安全文明规范及乙方管理责任》、附件七《商业险种》、附件八《作业工具及服装图集》、附件九《防暑降温物品要求》、附件十《环卫信息化设备要求》、附件十一《车辆主动安全识别监控要求》、附件十二《考核办法》、附件十三《竣工验收鉴定书》、附件十四《履约保函》。</w:t>
      </w:r>
      <w:r/>
    </w:p>
    <w:p>
      <w:pPr>
        <w:ind w:firstLine="480"/>
        <w:jc w:val="left"/>
        <w:keepLines w:val="0"/>
        <w:keepNext w:val="0"/>
        <w:pageBreakBefore w:val="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采购人有权根据实际情况对《苏州工业园区城维项目承包企业履约评价考核实施办法》进行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调整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调整后的《考核实施办法》自通知到承包人时生效。</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四、人员、设备配备基本要求：</w:t>
      </w:r>
      <w:r/>
    </w:p>
    <w:p>
      <w:pPr>
        <w:contextualSpacing/>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（一）人员配备基本要求</w:t>
      </w:r>
      <w:r/>
    </w:p>
    <w:p>
      <w:pPr>
        <w:pStyle w:val="1131"/>
        <w:ind w:firstLine="480"/>
        <w:spacing w:line="360" w:lineRule="auto"/>
        <w:rPr>
          <w:rFonts w:ascii="宋体" w:hAnsi="宋体" w:eastAsia="宋体" w:cs="宋体"/>
          <w:b/>
          <w:bCs/>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详见附件二：《2026年园区抑尘服务项目信息一览表》拟投入人员须满足招标文件的要求，</w:t>
      </w:r>
      <w:r>
        <w:rPr>
          <w:rFonts w:hint="eastAsia" w:ascii="宋体" w:hAnsi="宋体" w:eastAsia="宋体" w:cs="宋体"/>
          <w:b/>
          <w:bCs/>
          <w:color w:val="000000" w:themeColor="text1"/>
          <w:sz w:val="24"/>
          <w:highlight w:val="none"/>
          <w:u w:val="single"/>
          <w14:textFill>
            <w14:solidFill>
              <w14:schemeClr w14:val="tx1"/>
            </w14:solidFill>
          </w14:textFill>
        </w:rPr>
        <w:t xml:space="preserve">低于招标文件要求的视为未实质性响应招标文件要求，为无效标。</w:t>
      </w:r>
      <w:r/>
    </w:p>
    <w:p>
      <w:pPr>
        <w:contextualSpacing/>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本项目项目组人员指项目经理及安全员。</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投标文件中提供投标人为项目组人员缴纳的近一期的社保证明扫描件（有社保局盖章）和身份证扫描件，项目经理还需提供学历证书扫描件。上述证明材料未提供或提供不完整的视为未实质性响应，为无效标。</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（二）设备配备基本要求</w:t>
      </w:r>
      <w:r/>
    </w:p>
    <w:p>
      <w:pPr>
        <w:contextualSpacing/>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详见附件二</w:t>
      </w:r>
      <w:r>
        <w:rPr>
          <w:rFonts w:hint="eastAsia" w:ascii="宋体" w:hAnsi="宋体" w:eastAsia="宋体" w:cs="宋体"/>
          <w:color w:val="000000" w:themeColor="text1"/>
          <w:sz w:val="24"/>
          <w:szCs w:val="24"/>
          <w:highlight w:val="none"/>
          <w14:textFill>
            <w14:solidFill>
              <w14:schemeClr w14:val="tx1"/>
            </w14:solidFill>
          </w14:textFill>
        </w:rPr>
        <w:t xml:space="preserve">《2026年园区抑尘服务项目信息一览表》</w:t>
      </w:r>
      <w:r>
        <w:rPr>
          <w:rFonts w:hint="eastAsia" w:ascii="宋体" w:hAnsi="宋体" w:eastAsia="宋体" w:cs="宋体"/>
          <w:b/>
          <w:bCs/>
          <w:color w:val="000000" w:themeColor="text1"/>
          <w:sz w:val="24"/>
          <w:szCs w:val="24"/>
          <w:highlight w:val="none"/>
          <w14:textFill>
            <w14:solidFill>
              <w14:schemeClr w14:val="tx1"/>
            </w14:solidFill>
          </w14:textFill>
        </w:rPr>
        <w:t xml:space="preserve">拟投入车辆、设备（包括数量及规格参数等）须满足招标文件的要求，</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低于招标文件要求的视为未实质性响应招标文件要求，为无效标。</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五、人员、车辆设备、项目办公场所专用原则：</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1、项目组人员包含项目经理及安全员。</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项目组人员必须专门服务于本标段，不得用于其他项目中，且原则上不得更换。项目组人员均应为非变更后无在养项目，或是变更后无在养项目（必须是原合同养护期已满）。</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中标后项目组人员未按投标承诺到位或中标单位未经采购方批准私自更换的，一经发现，采购人将向供应商收取违约金100000元/人·次，同时供应商仍应按投标承诺将人员配备到位。</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如需更换项目组人员，应向采购人提出书面申请，经采购人批准后方可进行更换，所更换人员资格不得低于其投标文件承诺；中标后由于项目组人员现场管理工作不到位，或无法起到应有的作用，视为不称职，采购人将要求供应商更换项目组人员，且所更换人员不得低于其投标文件承诺。无论供应商申请更换或因不称职更换项目组人员均视为供应商违约行为，采购人将向供应商收取违约金，更换项目经理80000元/人·次、更换项目组其他人员50000元/人·次。</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投标文件中的项目组成员必须唯一，不得选择性提供，否则该投标单位不具备中标资格。</w:t>
      </w:r>
      <w:r/>
    </w:p>
    <w:p>
      <w:pPr>
        <w:ind w:firstLine="482"/>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2、设备专用原则</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应按照采购文件要求配备相关车辆（设备），并承诺投入车辆（设备）均为该项目（标段）专用，不得用于其他标段或其他项目且原则上不得更换。在合同履行过程中，如发现专用车辆（设备）用于其它项目的，或在检查过程中有车辆（设备）不到位现象的，或未经采购人同意更换车辆（设备）的，将被视为违约，采购人有权对中标人收取违约金10000元/台·次。若出现三台·次（含）以上该类违约现象，采购人有权解除合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乙供设备由投标人负责日常维修、养护、年检和日常看护。</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（2）投标人自有或租赁专用车辆（设备）（投标时承诺配置的“自有或租赁”设备）</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在合同开始时，投标人应按照其投标书承诺将“自有或租赁” 车辆（设备）配备到位。若合同开始时投入本标段的自有或租赁车辆（设备）未到位的，则采购人有权取消其中标资格（已签订合同的终止合同）。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（3）投标人承诺设备（投标时承诺在中标后配备的车辆（设备））</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在规定时间前将承诺配置的车辆（设备）配备到位，否则，无论采购人是否同意中标单位进场服务，中标单位均应按照采购人进场核验报告中明确的限期整改期限，将设备配备到位，并支付违约金。整改期限届满，如仍未配备到位，采购人有权解除合同。</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同履行过程中，中标单位如需更换本项目专用车辆（设备），应向采购方提出书面申请，经采购方批准后方可进行更换，所更换车辆（设备）的型号、参数、性能等不得低于其投标文件承诺，且机动车登记证书的初次登记日期不得早于被更换车辆，中标单位更换车辆的，采购人有权对中标人收取违约金10000元/台·次。</w:t>
      </w:r>
      <w:r/>
    </w:p>
    <w:p>
      <w:pPr>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注：合同开始履行六个月内更换车辆（设备）的视为违约，采购人有权对中标人收取违约金；进场后满六个月内更换车辆（设备）的，不再视为违约行为。</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（5）设备外观要求标识统一，中标后，必须按采购方要求进行设备涂装，相关费用包含于投标报价内。</w:t>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间，中标单位应做好设备的维护保养工作，若机械化作业设备、专用设备出现故障，中标单位应及时维修或采用临时提供备用设备来进行工作，若经维修后仍无法满足要求的，中标单位应及时进行更换，并报请采购人同意，所更换设备的型号、参数、性能等不得低于其投标文件承诺，且机动车登记证书的初次登记日期不得早于被更换车辆。中标单位拒绝更换或更换不及时的，将视为违约，采购人有权对中标人收取违约金（5000元/辆艘·天）。若出现三次（含）以上该违约现象，采购人有权解除合同。</w:t>
      </w:r>
      <w:r/>
    </w:p>
    <w:p>
      <w:pPr>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（7）在服务期内，中标单位有义务无条件接受由采购人采购并投入的设备，同时做好设备的使用、维护等工作。</w:t>
      </w:r>
      <w:r/>
    </w:p>
    <w:p>
      <w:pPr>
        <w:contextualSpacing/>
        <w:ind w:firstLine="482"/>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3、人员、设备不得与其他项目重复的要求</w:t>
      </w:r>
      <w:r/>
    </w:p>
    <w:p>
      <w:pPr>
        <w:contextualSpacing/>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供应商在投标文件中承诺配置的项目组人员、车辆（设备）信息（发动机号、车架号等任一项）与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2026年6月11日</w:t>
      </w:r>
      <w:r>
        <w:rPr>
          <w:rFonts w:hint="eastAsia" w:ascii="宋体" w:hAnsi="宋体" w:eastAsia="宋体" w:cs="宋体"/>
          <w:color w:val="000000" w:themeColor="text1"/>
          <w:sz w:val="24"/>
          <w:szCs w:val="24"/>
          <w:highlight w:val="none"/>
          <w14:textFill>
            <w14:solidFill>
              <w14:schemeClr w14:val="tx1"/>
            </w14:solidFill>
          </w14:textFill>
        </w:rPr>
        <w:t xml:space="preserve">后（含）仍在履行的其他项目中所配备的人员或设备信息有重复的，</w:t>
      </w:r>
      <w:r>
        <w:rPr>
          <w:rFonts w:hint="eastAsia" w:ascii="宋体" w:hAnsi="宋体" w:eastAsia="宋体" w:cs="宋体"/>
          <w:b/>
          <w:bCs/>
          <w:color w:val="000000" w:themeColor="text1"/>
          <w:sz w:val="24"/>
          <w:szCs w:val="24"/>
          <w:highlight w:val="none"/>
          <w14:textFill>
            <w14:solidFill>
              <w14:schemeClr w14:val="tx1"/>
            </w14:solidFill>
          </w14:textFill>
        </w:rPr>
        <w:t xml:space="preserve">则视为未实质性响应，投标文件中关于人员与设备的承诺不作为该情形的弥补。</w:t>
      </w:r>
      <w:r/>
    </w:p>
    <w:p>
      <w:pPr>
        <w:contextualSpacing/>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投标文件中承诺为本标段配置的项目组人员及车辆（设备）如为其他项目中已变更或被更换的，原项目合同必须在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2026年6月11日</w:t>
      </w:r>
      <w:r>
        <w:rPr>
          <w:rFonts w:hint="eastAsia" w:ascii="宋体" w:hAnsi="宋体" w:eastAsia="宋体" w:cs="宋体"/>
          <w:color w:val="000000" w:themeColor="text1"/>
          <w:sz w:val="24"/>
          <w:szCs w:val="24"/>
          <w:highlight w:val="none"/>
          <w14:textFill>
            <w14:solidFill>
              <w14:schemeClr w14:val="tx1"/>
            </w14:solidFill>
          </w14:textFill>
        </w:rPr>
        <w:t xml:space="preserve">前已履行完成，</w:t>
      </w:r>
      <w:r>
        <w:rPr>
          <w:rFonts w:hint="eastAsia" w:ascii="宋体" w:hAnsi="宋体" w:eastAsia="宋体" w:cs="宋体"/>
          <w:b/>
          <w:bCs/>
          <w:color w:val="000000" w:themeColor="text1"/>
          <w:sz w:val="24"/>
          <w:szCs w:val="24"/>
          <w:highlight w:val="none"/>
          <w14:textFill>
            <w14:solidFill>
              <w14:schemeClr w14:val="tx1"/>
            </w14:solidFill>
          </w14:textFill>
        </w:rPr>
        <w:t xml:space="preserve">否则视为与其他项目中人员或设备有重复，则视为未实质性响应。</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投标文件中的涉及的人员、车辆（设备）等至少需在投标有效期内保持其承诺的原状态。如果上述人员、车辆（设备）等响应内容状态发生了变化，使得实际响应的人员、车辆（设备）等已不符合招标文件的实质性要求，采购人（代理机构）有权根据招标文件的规定，对供应商做出判定其投标文件非实质性响应招标文件、投标无效、取消中标资格等处理。</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5、项目组固定办公场所原则</w:t>
      </w:r>
      <w:r/>
    </w:p>
    <w:p>
      <w:pPr>
        <w:contextualSpacing/>
        <w:ind w:firstLine="48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供应商应在距项目5km范围内设有固定的项目组办公场所，办公场所面积不小于50平方米，且承诺办公场所为该</w:t>
      </w:r>
      <w:r>
        <w:rPr>
          <w:rFonts w:hint="eastAsia" w:ascii="Calibri" w:hAnsi="Calibri" w:eastAsia="宋体"/>
          <w:color w:val="000000" w:themeColor="text1"/>
          <w:sz w:val="24"/>
          <w:szCs w:val="24"/>
          <w:highlight w:val="none"/>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专用，不得用于其他标段或其他项目。相关证明材料须在进场核验时向采购人提交。相关证明材料要求如下：如为自有的，提供房产证扫描件；如为租赁的，提供租赁合同（租赁结束日期不得早于本项目服务结束日期）及出租方房产证扫描件。在合同履行过程中，如发现项目组办公场所用于其它项目的，或在检查过程中有项目组办公场所不到位现象的，或未经采购人同意更换项目组办公场所的，将被视为违约，采购人有权按10000元/次的标准对供应商收取违约金。若出现三次（含）以上该违约现象，采购人有权解除合同</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六、进场核验要求：见合同条款</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七、关于不得拖欠作业工人劳动报酬的规定：见合同条款</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八、第十三个月工资及春节慰问金发放要求：见合同条款</w:t>
      </w:r>
      <w:r/>
    </w:p>
    <w:p>
      <w:pPr>
        <w:contextualSpacing/>
        <w:ind w:firstLine="482"/>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九、防暑降温用品发放要求：见合同条款</w:t>
      </w:r>
      <w:r/>
    </w:p>
    <w:p>
      <w:pPr>
        <w:ind w:firstLine="482"/>
        <w:jc w:val="left"/>
        <w:spacing w:line="360" w:lineRule="auto"/>
        <w:rPr>
          <w:rFonts w:ascii="宋体" w:hAnsi="宋体" w:eastAsia="宋体"/>
          <w:b/>
          <w:color w:val="000000" w:themeColor="text1"/>
          <w:sz w:val="24"/>
          <w:szCs w:val="24"/>
          <w:highlight w:val="none"/>
          <w14:textFill>
            <w14:solidFill>
              <w14:schemeClr w14:val="tx1"/>
            </w14:solidFill>
          </w14:textFill>
        </w:rPr>
        <w:outlineLvl w:val="1"/>
      </w:pPr>
      <w:r>
        <w:rPr>
          <w:rFonts w:hint="eastAsia" w:ascii="宋体" w:hAnsi="宋体" w:eastAsia="宋体"/>
          <w:b/>
          <w:color w:val="000000" w:themeColor="text1"/>
          <w:sz w:val="24"/>
          <w:szCs w:val="24"/>
          <w:highlight w:val="none"/>
          <w14:textFill>
            <w14:solidFill>
              <w14:schemeClr w14:val="tx1"/>
            </w14:solidFill>
          </w14:textFill>
        </w:rPr>
        <w:t xml:space="preserve">十、综合说明及其他要求</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bookmarkStart w:id="50" w:name="_Hlk117243055"/>
      <w:r>
        <w:rPr>
          <w:rFonts w:hint="eastAsia" w:ascii="宋体" w:hAnsi="宋体" w:eastAsia="宋体"/>
          <w:color w:val="000000" w:themeColor="text1"/>
          <w:sz w:val="24"/>
          <w:szCs w:val="24"/>
          <w:highlight w:val="none"/>
          <w14:textFill>
            <w14:solidFill>
              <w14:schemeClr w14:val="tx1"/>
            </w14:solidFill>
          </w14:textFill>
        </w:rPr>
        <w:t xml:space="preserve">1、供应商提供的服务能够至少达到以上要求，同时明确详细的服务方案。</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2、供应商必须承诺招标文件中提出的全部管理要求，如果其中某些条款不响应时，应在文件中逐条列出，未列出的视同响应。</w:t>
      </w:r>
      <w:r/>
    </w:p>
    <w:p>
      <w:pPr>
        <w:ind w:firstLine="480"/>
        <w:spacing w:line="400" w:lineRule="exact"/>
        <w:rPr>
          <w:rFonts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3、供应商应对所投标段的全部内容进行报价，只投其中部分内容者，其投标文件将被拒绝。投标总报价一次报定，包括</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完成该标段所有服务管理内容所需的人工、机械设备、工具器具、耗材、通讯、服装、胸卡、办公设备、巡检器材、保险、劳保、防疫、第十三个月工资、春节慰问金、高温费、防暑降温物品费用、环卫信息化费用</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代理费</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维护、技术支持与培训及相关劳务支出等工作所发生的全部费用以及投标人企业管理费、利润、各种税金和政策性文件规定及合同包含的所有风险、责任等各项应有费用。标段服务范围内有重大活动举行时的人员、车辆（设备）增派等可能产生的费用，均包含在合同价款中，不再另行结算。</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bookmarkStart w:id="51" w:name="_Hlk116479062"/>
      <w:r>
        <w:rPr>
          <w:rFonts w:hint="eastAsia" w:ascii="宋体" w:hAnsi="宋体" w:eastAsia="宋体"/>
          <w:color w:val="000000" w:themeColor="text1"/>
          <w:sz w:val="24"/>
          <w:szCs w:val="24"/>
          <w:highlight w:val="none"/>
          <w14:textFill>
            <w14:solidFill>
              <w14:schemeClr w14:val="tx1"/>
            </w14:solidFill>
          </w14:textFill>
        </w:rPr>
        <w:t xml:space="preserve">4、本项目服务期间，供应商用人管理制度应当遵守国家相关规定。</w:t>
      </w:r>
      <w:bookmarkEnd w:id="51"/>
      <w:r/>
      <w:r/>
    </w:p>
    <w:p>
      <w:pPr>
        <w:ind w:firstLine="480"/>
        <w:spacing w:line="360" w:lineRule="auto"/>
        <w:rPr>
          <w:rFonts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5、本项目的安全生产费用应按国家相关规定提取，并考虑在投标总价中。</w:t>
      </w:r>
      <w:r/>
    </w:p>
    <w:p>
      <w:pPr>
        <w:ind w:firstLine="480"/>
        <w:spacing w:line="360" w:lineRule="auto"/>
        <w:rPr>
          <w:rFonts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6、</w:t>
      </w:r>
      <w:r>
        <w:rPr>
          <w:rFonts w:hint="eastAsia" w:ascii="宋体" w:hAnsi="宋体" w:eastAsia="宋体"/>
          <w:color w:val="000000" w:themeColor="text1"/>
          <w:sz w:val="24"/>
          <w:szCs w:val="24"/>
          <w:highlight w:val="none"/>
          <w:shd w:val="clear" w:color="auto" w:fill="ffffff"/>
          <w:lang w:val="en-US" w:eastAsia="zh-CN"/>
          <w14:textFill>
            <w14:solidFill>
              <w14:schemeClr w14:val="tx1"/>
            </w14:solidFill>
          </w14:textFill>
        </w:rPr>
        <w:t xml:space="preserve">成交</w:t>
      </w: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7、供应商在投标文件中应充分体现自身提供服务及管理的能力、技术能力（如人员具备国家相关职业技能者最佳、人员经验等）、公司履行经验能力（若有）及获得表彰、荣誉（若有）等内容。</w:t>
      </w:r>
      <w:r/>
    </w:p>
    <w:p>
      <w:pPr>
        <w:ind w:firstLine="480"/>
        <w:spacing w:line="360" w:lineRule="auto"/>
        <w:rPr>
          <w:rFonts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8、验收标准：根据《苏州工业园区政府采购履约验收管理暂行办法》、招标文件中的服务要求及考核标准（详见附件）由采购人验收通过。在服务过程中，采购单位有权根据实际情况对考核办法作出适当修改，供应商须无条件接受。</w:t>
      </w:r>
      <w:r/>
    </w:p>
    <w:p>
      <w:pPr>
        <w:ind w:firstLine="480"/>
        <w:spacing w:line="360" w:lineRule="auto"/>
        <w:rPr>
          <w:rFonts w:hint="eastAsia" w:ascii="宋体" w:hAnsi="宋体" w:eastAsia="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9、付款方式：见合同条款。</w:t>
      </w:r>
      <w:r/>
    </w:p>
    <w:p>
      <w:pPr>
        <w:ind w:firstLine="480"/>
        <w:spacing w:line="360" w:lineRule="auto"/>
        <w:rPr>
          <w:rFonts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olor w:val="000000" w:themeColor="text1"/>
          <w:sz w:val="24"/>
          <w:szCs w:val="24"/>
          <w:highlight w:val="none"/>
          <w:shd w:val="clear" w:color="auto" w:fill="ffffff"/>
          <w14:textFill>
            <w14:solidFill>
              <w14:schemeClr w14:val="tx1"/>
            </w14:solidFill>
          </w14:textFill>
        </w:rPr>
        <w:t xml:space="preserve">10、凡涉及招标文件的补充说明和修改，均以苏州市政府采购网发布的内容为准。</w:t>
      </w:r>
      <w:bookmarkEnd w:id="50"/>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r>
      <w:r/>
    </w:p>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b/>
          <w:color w:val="000000" w:themeColor="text1"/>
          <w:sz w:val="52"/>
          <w:szCs w:val="52"/>
          <w:highlight w:val="none"/>
          <w14:textFill>
            <w14:solidFill>
              <w14:schemeClr w14:val="tx1"/>
            </w14:solidFill>
          </w14:textFill>
        </w:rPr>
      </w:pPr>
      <w:r>
        <w:rPr>
          <w:rFonts w:ascii="宋体" w:hAnsi="宋体" w:eastAsia="宋体" w:cs="宋体"/>
          <w:b/>
          <w:color w:val="000000" w:themeColor="text1"/>
          <w:sz w:val="52"/>
          <w:szCs w:val="52"/>
          <w:highlight w:val="none"/>
          <w14:textFill>
            <w14:solidFill>
              <w14:schemeClr w14:val="tx1"/>
            </w14:solidFill>
          </w14:textFill>
        </w:rPr>
      </w:r>
      <w:r/>
    </w:p>
    <w:p>
      <w:pPr>
        <w:jc w:val="center"/>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第五章 合同主要条款</w:t>
      </w:r>
      <w:r/>
    </w:p>
    <w:p>
      <w:pPr>
        <w:ind w:firstLine="52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ab/>
      </w:r>
      <w:r>
        <w:rPr>
          <w:rFonts w:hint="eastAsia" w:ascii="宋体" w:hAnsi="宋体" w:eastAsia="宋体" w:cs="宋体"/>
          <w:color w:val="000000" w:themeColor="text1"/>
          <w:sz w:val="24"/>
          <w:highlight w:val="none"/>
          <w14:textFill>
            <w14:solidFill>
              <w14:schemeClr w14:val="tx1"/>
            </w14:solidFill>
          </w14:textFill>
        </w:rPr>
        <w:tab/>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ind w:left="520"/>
        <w:spacing w:line="540" w:lineRule="exact"/>
        <w:rPr>
          <w:rFonts w:ascii="宋体" w:hAnsi="宋体" w:eastAsia="宋体" w:cs="宋体"/>
          <w:color w:val="000000" w:themeColor="text1"/>
          <w:sz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jc w:val="center"/>
        <w:rPr>
          <w:rFonts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2026年园区抑尘服务项目</w:t>
      </w:r>
      <w:r/>
    </w:p>
    <w:p>
      <w:pPr>
        <w:ind w:firstLine="640"/>
        <w:jc w:val="cente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政府采购合同书</w:t>
      </w:r>
      <w:r/>
    </w:p>
    <w:p>
      <w:pPr>
        <w:ind w:firstLine="52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合同编号：***</w:t>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甲方（采购人）：</w:t>
      </w:r>
      <w:r>
        <w:rPr>
          <w:rFonts w:hint="eastAsia" w:ascii="宋体" w:hAnsi="宋体" w:eastAsia="宋体" w:cs="宋体"/>
          <w:color w:val="000000" w:themeColor="text1"/>
          <w:sz w:val="21"/>
          <w:szCs w:val="21"/>
          <w:highlight w:val="none"/>
          <w14:textFill>
            <w14:solidFill>
              <w14:schemeClr w14:val="tx1"/>
            </w14:solidFill>
          </w14:textFill>
        </w:rPr>
        <w:t xml:space="preserve">苏州工业园区综合行政执法局</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地址：苏州工业园区南施街</w:t>
      </w:r>
      <w:r>
        <w:rPr>
          <w:rFonts w:ascii="宋体" w:hAnsi="宋体" w:eastAsia="宋体" w:cs="宋体"/>
          <w:color w:val="000000" w:themeColor="text1"/>
          <w:sz w:val="21"/>
          <w:szCs w:val="21"/>
          <w:highlight w:val="none"/>
          <w14:textFill>
            <w14:solidFill>
              <w14:schemeClr w14:val="tx1"/>
            </w14:solidFill>
          </w14:textFill>
        </w:rPr>
        <w:t xml:space="preserve">233号城市管理大厦</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联系人：任雪杰</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ascii="宋体" w:hAnsi="宋体" w:eastAsia="宋体" w:cs="宋体"/>
          <w:color w:val="000000" w:themeColor="text1"/>
          <w:sz w:val="21"/>
          <w:szCs w:val="21"/>
          <w:highlight w:val="none"/>
          <w14:textFill>
            <w14:solidFill>
              <w14:schemeClr w14:val="tx1"/>
            </w14:solidFill>
          </w14:textFill>
        </w:rPr>
        <w:t xml:space="preserve">0512-62871726</w:t>
      </w:r>
      <w:r/>
    </w:p>
    <w:p>
      <w:pPr>
        <w:ind w:firstLine="422"/>
        <w:spacing w:before="100" w:beforeAutospacing="1"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乙方（供应商）：</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邮政编码：</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手机号码：</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办公电话：</w:t>
      </w: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电子邮件</w:t>
      </w:r>
      <w:r>
        <w:rPr>
          <w:rFonts w:ascii="宋体" w:hAnsi="宋体" w:eastAsia="宋体" w:cs="宋体"/>
          <w:color w:val="000000" w:themeColor="text1"/>
          <w:sz w:val="21"/>
          <w:szCs w:val="21"/>
          <w:highlight w:val="none"/>
          <w14:textFill>
            <w14:solidFill>
              <w14:schemeClr w14:val="tx1"/>
            </w14:solidFill>
          </w14:textFill>
        </w:rPr>
        <w:t xml:space="preserve">:</w:t>
      </w:r>
      <w:r/>
    </w:p>
    <w:p>
      <w:pP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ind w:firstLine="42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采购代理机构：</w:t>
      </w:r>
      <w:r>
        <w:rPr>
          <w:rFonts w:hint="eastAsia" w:ascii="宋体" w:hAnsi="宋体" w:eastAsia="宋体" w:cs="宋体"/>
          <w:color w:val="000000" w:themeColor="text1"/>
          <w:sz w:val="21"/>
          <w:szCs w:val="21"/>
          <w:highlight w:val="none"/>
          <w14:textFill>
            <w14:solidFill>
              <w14:schemeClr w14:val="tx1"/>
            </w14:solidFill>
          </w14:textFill>
        </w:rPr>
        <w:t xml:space="preserve">苏州华星工程造价咨询有限公司</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地址：苏州工业园区苏雅路</w:t>
      </w:r>
      <w:r>
        <w:rPr>
          <w:rFonts w:ascii="宋体" w:hAnsi="宋体" w:eastAsia="宋体" w:cs="宋体"/>
          <w:color w:val="000000" w:themeColor="text1"/>
          <w:sz w:val="21"/>
          <w:szCs w:val="21"/>
          <w:highlight w:val="none"/>
          <w14:textFill>
            <w14:solidFill>
              <w14:schemeClr w14:val="tx1"/>
            </w14:solidFill>
          </w14:textFill>
        </w:rPr>
        <w:t xml:space="preserve">388号新天翔商业广场A座12楼1206室</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w:t>
      </w:r>
      <w:r>
        <w:rPr>
          <w:rFonts w:ascii="宋体" w:hAnsi="宋体" w:eastAsia="宋体" w:cs="宋体"/>
          <w:color w:val="000000" w:themeColor="text1"/>
          <w:sz w:val="21"/>
          <w:szCs w:val="21"/>
          <w:highlight w:val="none"/>
          <w14:textFill>
            <w14:solidFill>
              <w14:schemeClr w14:val="tx1"/>
            </w14:solidFill>
          </w14:textFill>
        </w:rPr>
        <w:t xml:space="preserve">0512-65200462</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根据招标编号为</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JSZC-320591-HXZJ-C2026-0010</w:t>
      </w:r>
      <w:r>
        <w:rPr>
          <w:rFonts w:hint="eastAsia" w:ascii="宋体" w:hAnsi="宋体" w:eastAsia="宋体" w:cs="宋体"/>
          <w:color w:val="000000" w:themeColor="text1"/>
          <w:sz w:val="21"/>
          <w:szCs w:val="21"/>
          <w:highlight w:val="none"/>
          <w14:textFill>
            <w14:solidFill>
              <w14:schemeClr w14:val="tx1"/>
            </w14:solidFill>
          </w14:textFill>
        </w:rPr>
        <w:t xml:space="preserve">的招标文件及该文件的投标文件和中标通知书，甲乙双方根据《中华人民共和国民法典》之规定，甲乙双方在平等、自愿、互利的基础上就此次中标的标的物采购事宜，签订本合同书。</w:t>
      </w:r>
      <w:r/>
    </w:p>
    <w:p>
      <w:p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bookmarkStart w:id="52" w:name="_Toc153983281"/>
      <w:r>
        <w:rPr>
          <w:rFonts w:hint="eastAsia" w:ascii="宋体" w:hAnsi="宋体" w:eastAsia="宋体" w:cs="宋体"/>
          <w:b/>
          <w:bCs/>
          <w:color w:val="000000" w:themeColor="text1"/>
          <w:sz w:val="21"/>
          <w:szCs w:val="21"/>
          <w:highlight w:val="none"/>
          <w14:textFill>
            <w14:solidFill>
              <w14:schemeClr w14:val="tx1"/>
            </w14:solidFill>
          </w14:textFill>
        </w:rPr>
        <w:t xml:space="preserve">一、合同的主要内容</w:t>
      </w:r>
      <w:bookmarkEnd w:id="52"/>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bookmarkStart w:id="53" w:name="_Toc153983282"/>
      <w:r>
        <w:rPr>
          <w:rFonts w:ascii="宋体" w:hAnsi="宋体" w:eastAsia="宋体" w:cs="宋体"/>
          <w:color w:val="000000" w:themeColor="text1"/>
          <w:sz w:val="21"/>
          <w:szCs w:val="21"/>
          <w:highlight w:val="none"/>
          <w14:textFill>
            <w14:solidFill>
              <w14:schemeClr w14:val="tx1"/>
            </w14:solidFill>
          </w14:textFill>
        </w:rPr>
        <w:t xml:space="preserve">1、合同标的</w:t>
      </w:r>
      <w:bookmarkEnd w:id="53"/>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2026年园区抑尘服务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bookmarkStart w:id="54" w:name="_Toc153983283"/>
      <w:r>
        <w:rPr>
          <w:rFonts w:ascii="宋体" w:hAnsi="宋体" w:eastAsia="宋体" w:cs="宋体"/>
          <w:color w:val="000000" w:themeColor="text1"/>
          <w:sz w:val="21"/>
          <w:szCs w:val="21"/>
          <w:highlight w:val="none"/>
          <w14:textFill>
            <w14:solidFill>
              <w14:schemeClr w14:val="tx1"/>
            </w14:solidFill>
          </w14:textFill>
        </w:rPr>
        <w:t xml:space="preserve">2、</w:t>
      </w:r>
      <w:bookmarkEnd w:id="54"/>
      <w:r>
        <w:rPr>
          <w:rFonts w:hint="eastAsia" w:ascii="宋体" w:hAnsi="宋体" w:eastAsia="宋体" w:cs="宋体"/>
          <w:color w:val="000000" w:themeColor="text1"/>
          <w:sz w:val="21"/>
          <w:szCs w:val="21"/>
          <w:highlight w:val="none"/>
          <w14:textFill>
            <w14:solidFill>
              <w14:schemeClr w14:val="tx1"/>
            </w14:solidFill>
          </w14:textFill>
        </w:rPr>
        <w:t xml:space="preserve">服务期限</w:t>
      </w:r>
      <w:bookmarkStart w:id="55" w:name="_Toc153983284"/>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24个月（计划进场日期为2026年6月11日至2028年6月10日，实际进场日期以采购人书面通知为准）。</w:t>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二、合同价款的构成及支付</w:t>
      </w:r>
      <w:bookmarkEnd w:id="55"/>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1、合同价款及构成</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暂定为人民币（大写）</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元（小写）¥</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上述费用包括完成该标段所有服务管理内容所需的人工、机械设备、工具器具、耗材、通讯、服装、胸卡、办公设备、巡检器材、保险、劳保、防疫、第十三个月工资、春节慰问金、高温费、防暑降温物品费用、环卫信息化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代理费</w:t>
      </w:r>
      <w:r>
        <w:rPr>
          <w:rFonts w:hint="eastAsia" w:ascii="宋体" w:hAnsi="宋体" w:eastAsia="宋体" w:cs="宋体"/>
          <w:color w:val="000000" w:themeColor="text1"/>
          <w:sz w:val="21"/>
          <w:szCs w:val="21"/>
          <w:highlight w:val="none"/>
          <w14:textFill>
            <w14:solidFill>
              <w14:schemeClr w14:val="tx1"/>
            </w14:solidFill>
          </w14:textFill>
        </w:rPr>
        <w:t xml:space="preserve">、维护、技术支持与培训及相关劳务支出等工作所发生的全部费用以及投标人企业管理费、利润、各种税金和政策性文件规定及合同包含的所有风险、责任等各项应有费用。标段服务范围内有重大活动举行时的人员、车辆（设备）增派等可能产生的费用，均包含在合同价款中，不再另行结算。</w:t>
      </w:r>
      <w:r/>
    </w:p>
    <w:p>
      <w:p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本项目投标时采用二次报价，各项结算单价按乙方第一次报价单价下浮之后的单价执行，下浮率</w:t>
      </w:r>
      <w:r>
        <w:rPr>
          <w:rFonts w:ascii="宋体" w:hAnsi="宋体" w:eastAsia="宋体" w:cs="宋体"/>
          <w:b/>
          <w:bCs/>
          <w:color w:val="000000" w:themeColor="text1"/>
          <w:sz w:val="21"/>
          <w:szCs w:val="21"/>
          <w:highlight w:val="none"/>
          <w14:textFill>
            <w14:solidFill>
              <w14:schemeClr w14:val="tx1"/>
            </w14:solidFill>
          </w14:textFill>
        </w:rPr>
        <w:t xml:space="preserve">=（第一次报价总价-成交价总价）/第一次报价总价。】</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3"/>
      </w:pPr>
      <w:r>
        <w:rPr>
          <w:rFonts w:ascii="宋体" w:hAnsi="宋体" w:eastAsia="宋体" w:cs="宋体"/>
          <w:color w:val="000000" w:themeColor="text1"/>
          <w:sz w:val="21"/>
          <w:szCs w:val="21"/>
          <w:highlight w:val="none"/>
          <w14:textFill>
            <w14:solidFill>
              <w14:schemeClr w14:val="tx1"/>
            </w14:solidFill>
          </w14:textFill>
        </w:rPr>
        <w:t xml:space="preserve">2、支付</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2.1、服务费支付</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甲方对乙方的月度考核结果作为乙方每月进度款支付的依据。</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进度款按月支付，乙方根据每月检查考核结果提起支付申请。</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每月进度款</w:t>
      </w:r>
      <w:r>
        <w:rPr>
          <w:rFonts w:ascii="宋体" w:hAnsi="宋体" w:eastAsia="宋体" w:cs="宋体"/>
          <w:color w:val="000000" w:themeColor="text1"/>
          <w:sz w:val="21"/>
          <w:szCs w:val="21"/>
          <w:highlight w:val="none"/>
          <w14:textFill>
            <w14:solidFill>
              <w14:schemeClr w14:val="tx1"/>
            </w14:solidFill>
          </w14:textFill>
        </w:rPr>
        <w:t xml:space="preserve">=当月实际服务费*80%-月度违约处罚扣款-其他扣款</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若当月服务不足月，则按天数扣除相应比例。</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2）尾款支付:</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尾款</w:t>
      </w:r>
      <w:r>
        <w:rPr>
          <w:rFonts w:ascii="宋体" w:hAnsi="宋体" w:eastAsia="宋体" w:cs="宋体"/>
          <w:color w:val="000000" w:themeColor="text1"/>
          <w:sz w:val="21"/>
          <w:szCs w:val="21"/>
          <w:highlight w:val="none"/>
          <w14:textFill>
            <w14:solidFill>
              <w14:schemeClr w14:val="tx1"/>
            </w14:solidFill>
          </w14:textFill>
        </w:rPr>
        <w:t xml:space="preserve">=Σ月实际服务费*20%，按一个考核年度（每12个月）一次性支付。实际年度作业里程不满的，不足部分的费用优先在当年度尾款中进行扣除。</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乙方在一个考核年度内未能完全履行相关义务造成服务中断、员工上访、罢工歇业、劳动合同争议或其他纠纷，甲方有权拒付当年度尾款，并由服务单位承担违约责任。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.2、支付流程</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每期工作完成，并达到合同约定的支付条件后，于次月5日前向甲方提交完整的付款申请资料，经甲方审核，双方确认支付金额后，60天内完成支付工作。支付前乙方应向甲方开具相应金额的增值税普通发票。因上级部门流转审批致使超出前述期限的甲方不构成违约。</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2.3、支付材料</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首次付款前，乙方应提供合同复印件、履约保证金缴纳凭证、甲方对其出具的合格进场核验报告等。分批次进场的标段，在各批次首次付款时，均应提供该批次相对应的合格进场核验报告。乙方未提交相关资料的或提交的相关资料不符合甲方要求的，甲方有权顺延付款期限。</w:t>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bookmarkStart w:id="56" w:name="_Toc153983285"/>
      <w:r>
        <w:rPr>
          <w:rFonts w:hint="eastAsia" w:ascii="宋体" w:hAnsi="宋体" w:eastAsia="宋体" w:cs="宋体"/>
          <w:b/>
          <w:color w:val="000000" w:themeColor="text1"/>
          <w:sz w:val="21"/>
          <w:szCs w:val="21"/>
          <w:highlight w:val="none"/>
          <w14:textFill>
            <w14:solidFill>
              <w14:schemeClr w14:val="tx1"/>
            </w14:solidFill>
          </w14:textFill>
        </w:rPr>
        <w:t xml:space="preserve">三、合同的履行</w:t>
      </w:r>
      <w:bookmarkEnd w:id="56"/>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bookmarkStart w:id="57" w:name="_Toc153983286"/>
      <w:r>
        <w:rPr>
          <w:rFonts w:ascii="宋体" w:hAnsi="宋体" w:eastAsia="宋体" w:cs="宋体"/>
          <w:color w:val="000000" w:themeColor="text1"/>
          <w:sz w:val="21"/>
          <w:szCs w:val="21"/>
          <w:highlight w:val="none"/>
          <w14:textFill>
            <w14:solidFill>
              <w14:schemeClr w14:val="tx1"/>
            </w14:solidFill>
          </w14:textFill>
        </w:rPr>
        <w:t xml:space="preserve">1、服务内容及要求、服务工作管理及考核</w:t>
      </w:r>
      <w:bookmarkEnd w:id="57"/>
      <w:r>
        <w:rPr>
          <w:rFonts w:hint="eastAsia" w:ascii="宋体" w:hAnsi="宋体" w:eastAsia="宋体" w:cs="宋体"/>
          <w:color w:val="000000" w:themeColor="text1"/>
          <w:sz w:val="21"/>
          <w:szCs w:val="21"/>
          <w:highlight w:val="none"/>
          <w14:textFill>
            <w14:solidFill>
              <w14:schemeClr w14:val="tx1"/>
            </w14:solidFill>
          </w14:textFill>
        </w:rPr>
        <w:t xml:space="preserve">：附件三《机械化作业管理要求》、附件四《项目组配置及岗位要求》、附件五《管理信息系统要求》、附件六《作业安全文明规范及乙方管理责任》、附件七《商业险种》、附件八《作业工具及服装图集》、附件九《防暑降温物品要求》、附件十《环卫信息化设备要求》、附件十一《车辆主动安全识别监控要求》、附件十二《考核办法》、附件十三《竣工验收鉴定书》、附件十四《履约保函》。</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在合同履行期间，甲方有权根据实际情况对考核方式及考核内容作出变更，乙方应无条件接受。</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58" w:name="_Toc153983287"/>
      <w:r>
        <w:rPr>
          <w:rFonts w:ascii="宋体" w:hAnsi="宋体" w:eastAsia="宋体" w:cs="宋体"/>
          <w:color w:val="000000" w:themeColor="text1"/>
          <w:sz w:val="21"/>
          <w:szCs w:val="21"/>
          <w:highlight w:val="none"/>
          <w14:textFill>
            <w14:solidFill>
              <w14:schemeClr w14:val="tx1"/>
            </w14:solidFill>
          </w14:textFill>
        </w:rPr>
        <w:t xml:space="preserve">2、乙方人员及设备配备</w:t>
      </w:r>
      <w:bookmarkEnd w:id="58"/>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2.1、本项目乙方委派的项目组成员</w:t>
      </w:r>
      <w:r/>
    </w:p>
    <w:p>
      <w:pPr>
        <w:ind w:firstLine="420"/>
        <w:spacing w:line="360" w:lineRule="auto"/>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项目经理：</w:t>
      </w:r>
      <w:r>
        <w:rPr>
          <w:rFonts w:hint="eastAsia" w:ascii="宋体" w:hAnsi="宋体" w:eastAsia="宋体" w:cs="宋体"/>
          <w:color w:val="000000" w:themeColor="text1"/>
          <w:sz w:val="21"/>
          <w:szCs w:val="21"/>
          <w:highlight w:val="none"/>
          <w:u w:val="single"/>
          <w14:textFill>
            <w14:solidFill>
              <w14:schemeClr w14:val="tx1"/>
            </w14:solidFill>
          </w14:textFill>
        </w:rPr>
        <w:t xml:space="preserve">姓名</w:t>
      </w:r>
      <w:r>
        <w:rPr>
          <w:rFonts w:ascii="宋体" w:hAnsi="宋体" w:eastAsia="宋体" w:cs="宋体"/>
          <w:color w:val="000000" w:themeColor="text1"/>
          <w:sz w:val="21"/>
          <w:szCs w:val="21"/>
          <w:highlight w:val="none"/>
          <w:u w:val="single"/>
          <w14:textFill>
            <w14:solidFill>
              <w14:schemeClr w14:val="tx1"/>
            </w14:solidFill>
          </w14:textFill>
        </w:rPr>
        <w:t xml:space="preserve">****，身份证号******** </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项目组其他人员详见合同附件。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2.2、本项目乙方投入的车辆、设备</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详见合同附件。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59" w:name="_Toc153983288"/>
      <w:r>
        <w:rPr>
          <w:rFonts w:ascii="宋体" w:hAnsi="宋体" w:eastAsia="宋体" w:cs="宋体"/>
          <w:color w:val="000000" w:themeColor="text1"/>
          <w:sz w:val="21"/>
          <w:szCs w:val="21"/>
          <w:highlight w:val="none"/>
          <w14:textFill>
            <w14:solidFill>
              <w14:schemeClr w14:val="tx1"/>
            </w14:solidFill>
          </w14:textFill>
        </w:rPr>
        <w:t xml:space="preserve">3、进场核验</w:t>
      </w:r>
      <w:bookmarkEnd w:id="59"/>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场核验，系为实现合同目的，甲方组织乙方项目负责人等相关人员，按照招标文件的要求与乙方投标承诺，对乙方履约保证金缴纳凭证及拟投入本项目的人员、车辆、设备、工具、保险、服装、办公场所等是否到位的情况，进行现场比对，由甲方出具进场核验报告，认定是否达到相关要求，评定合格或不合格的行为。</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进场核验的时间期间为中标通知书发出之日起，至合同计划履行起始日前，由乙方报请甲方进行核验。现场核验符合招标文件要求与乙方投标承诺的，由甲方出具“合格”的进场核验报告；现场核验不符合招标文件要求或乙方投标承诺的，由甲方依照现场核验的实际情况，在进场核验报告中明确不符合事项，载明双方约定的整改期限，出具相应的进场核验报告。</w:t>
      </w:r>
      <w:r/>
    </w:p>
    <w:p>
      <w:pPr>
        <w:ind w:firstLine="420"/>
        <w:jc w:val="left"/>
        <w:keepLines w:val="0"/>
        <w:keepNext w:val="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未通过甲方进场核验的，视为乙方未按照合同约定履约，甲方自进场核验之日起按合同金额的万分之四每日的标准向乙方收取违约金；经两次整改仍不符合进场核验要求的，甲方有权解除合同；合同解除的，自合同解除之日起，三年内</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乙方参与甲方或与甲方存在管理关系单位的采购活动，甲方有权拒绝。</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60" w:name="_Toc153983289"/>
      <w:r>
        <w:rPr>
          <w:rFonts w:ascii="宋体" w:hAnsi="宋体" w:eastAsia="宋体" w:cs="宋体"/>
          <w:color w:val="000000" w:themeColor="text1"/>
          <w:sz w:val="21"/>
          <w:szCs w:val="21"/>
          <w:highlight w:val="none"/>
          <w14:textFill>
            <w14:solidFill>
              <w14:schemeClr w14:val="tx1"/>
            </w14:solidFill>
          </w14:textFill>
        </w:rPr>
        <w:t xml:space="preserve">4、双方权利和义务</w:t>
      </w:r>
      <w:bookmarkEnd w:id="60"/>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3"/>
      </w:pPr>
      <w:r>
        <w:rPr>
          <w:rFonts w:ascii="宋体" w:hAnsi="宋体" w:eastAsia="宋体" w:cs="宋体"/>
          <w:color w:val="000000" w:themeColor="text1"/>
          <w:sz w:val="21"/>
          <w:szCs w:val="21"/>
          <w:highlight w:val="none"/>
          <w14:textFill>
            <w14:solidFill>
              <w14:schemeClr w14:val="tx1"/>
            </w14:solidFill>
          </w14:textFill>
        </w:rPr>
        <w:t xml:space="preserve">4.1、甲方权利和义务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(1)甲方有根据合同对乙方的作业量和作业质量进行检查和考核的权利；</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(2)甲方有权自行或邀请第三方或接受社会监督等形式对履约质量进行监管。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(3)乙方未按合同规定的标准作业，甲方有要求乙方整改的权利；</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(4)甲方有根据考核结果核减乙方作业费用的权利;</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(5)有向乙方通告检查及考核结果的义务;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(6)甲方有向乙方解释作业标准及相关工艺的义务；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(7)甲方有按时支付价款的义务，因上级部门流转审批致使超出前述期限的甲方免责。</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3"/>
      </w:pPr>
      <w:r>
        <w:rPr>
          <w:rFonts w:ascii="宋体" w:hAnsi="宋体" w:eastAsia="宋体" w:cs="宋体"/>
          <w:color w:val="000000" w:themeColor="text1"/>
          <w:sz w:val="21"/>
          <w:szCs w:val="21"/>
          <w:highlight w:val="none"/>
          <w14:textFill>
            <w14:solidFill>
              <w14:schemeClr w14:val="tx1"/>
            </w14:solidFill>
          </w14:textFill>
        </w:rPr>
        <w:t xml:space="preserve">4.2、乙方权利义务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(1)乙方有自主经营，组织生产的权利；</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(2)乙方有对作业标准、检查结果要求甲方进行解释说明的权利；</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(3)乙方在合同规定的作业范围进行规范操作，如遇到影响作业的外界因素，可以请甲方进行协调；</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4）乙方应严格落实安全生产主体责任,确保做好安全生产管理工作</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5）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（6）合同履行期间，因养护施工不力导致第三方损失的，乙方应及时妥善处理。</w:t>
      </w:r>
      <w:r>
        <w:rPr>
          <w:rFonts w:hint="eastAsia" w:ascii="宋体" w:hAnsi="宋体" w:eastAsia="宋体" w:cs="宋体"/>
          <w:color w:val="000000" w:themeColor="text1"/>
          <w:sz w:val="21"/>
          <w:szCs w:val="21"/>
          <w:highlight w:val="none"/>
          <w14:textFill>
            <w14:solidFill>
              <w14:schemeClr w14:val="tx1"/>
            </w14:solidFill>
          </w14:textFill>
        </w:rPr>
        <w:t xml:space="preserve">①</w:t>
      </w:r>
      <w:r>
        <w:rPr>
          <w:rFonts w:ascii="宋体" w:hAnsi="宋体" w:eastAsia="宋体" w:cs="宋体"/>
          <w:color w:val="000000" w:themeColor="text1"/>
          <w:sz w:val="21"/>
          <w:szCs w:val="21"/>
          <w:highlight w:val="none"/>
          <w14:textFill>
            <w14:solidFill>
              <w14:schemeClr w14:val="tx1"/>
            </w14:solidFill>
          </w14:textFill>
        </w:rPr>
        <w:t xml:space="preserve">乙方应优先调解处理。第三方要求甲方及相关方赔偿损失的，乙方应主动参与纠纷处理，引导第三方，将矛盾转移到乙方，并承担全部法律责任和经济赔偿责任。</w:t>
      </w:r>
      <w:r>
        <w:rPr>
          <w:rFonts w:hint="eastAsia" w:ascii="宋体" w:hAnsi="宋体" w:eastAsia="宋体" w:cs="宋体"/>
          <w:color w:val="000000" w:themeColor="text1"/>
          <w:sz w:val="21"/>
          <w:szCs w:val="21"/>
          <w:highlight w:val="none"/>
          <w14:textFill>
            <w14:solidFill>
              <w14:schemeClr w14:val="tx1"/>
            </w14:solidFill>
          </w14:textFill>
        </w:rPr>
        <w:t xml:space="preserve">②</w:t>
      </w:r>
      <w:r>
        <w:rPr>
          <w:rFonts w:ascii="宋体" w:hAnsi="宋体" w:eastAsia="宋体" w:cs="宋体"/>
          <w:color w:val="000000" w:themeColor="text1"/>
          <w:sz w:val="21"/>
          <w:szCs w:val="21"/>
          <w:highlight w:val="none"/>
          <w14:textFill>
            <w14:solidFill>
              <w14:schemeClr w14:val="tx1"/>
            </w14:solidFill>
          </w14:textFill>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(7)乙方有保存相关资料，配合甲方进行检查并提供相关报告的义务；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(8)乙方负责对作业范围内产生的市民投诉、舆情应对及其他应急突发事件处理等工作。</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61" w:name="_Toc153983290"/>
      <w:r>
        <w:rPr>
          <w:rFonts w:ascii="宋体" w:hAnsi="宋体" w:eastAsia="宋体" w:cs="宋体"/>
          <w:color w:val="000000" w:themeColor="text1"/>
          <w:sz w:val="21"/>
          <w:szCs w:val="21"/>
          <w:highlight w:val="none"/>
          <w14:textFill>
            <w14:solidFill>
              <w14:schemeClr w14:val="tx1"/>
            </w14:solidFill>
          </w14:textFill>
        </w:rPr>
        <w:t xml:space="preserve">5、验收与移交 </w:t>
      </w:r>
      <w:bookmarkEnd w:id="61"/>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5.1、验收标准</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将根据政府采购法及相关法规，以及《江苏省政府采购履约验收管理办法》和《苏州工业园区政府采购履约验收管理暂行办法》文件的规定，对供应商进行履约验收，确认验收合格的，将出具《政府采购履约验收书》。</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bookmarkStart w:id="62" w:name="_Toc153983291"/>
      <w:r>
        <w:rPr>
          <w:rFonts w:hint="eastAsia" w:ascii="宋体" w:hAnsi="宋体" w:eastAsia="宋体" w:cs="宋体"/>
          <w:color w:val="000000" w:themeColor="text1"/>
          <w:sz w:val="21"/>
          <w:szCs w:val="21"/>
          <w:highlight w:val="none"/>
          <w14:textFill>
            <w14:solidFill>
              <w14:schemeClr w14:val="tx1"/>
            </w14:solidFill>
          </w14:textFill>
        </w:rPr>
        <w:t xml:space="preserve">合同到期前</w:t>
      </w:r>
      <w:r>
        <w:rPr>
          <w:rFonts w:ascii="宋体" w:hAnsi="宋体" w:eastAsia="宋体" w:cs="宋体"/>
          <w:color w:val="000000" w:themeColor="text1"/>
          <w:sz w:val="21"/>
          <w:szCs w:val="21"/>
          <w:highlight w:val="none"/>
          <w14:textFill>
            <w14:solidFill>
              <w14:schemeClr w14:val="tx1"/>
            </w14:solidFill>
          </w14:textFill>
        </w:rPr>
        <w:t xml:space="preserve">30日，乙方向甲方提出书面的项目验收申请，乙方与甲方进行项目验收，甲方按中华人民共和国相关标准及相应的技术规范、合同中的全部相关要求及相关标准及相应的技术规范中之较高者进行验收，出具验收情况的书面意见，明确整改内容和时间，乙方应按时完成整改。如乙方未提出申请，经甲方催告后仍不申请的，甲方有权和新中标单位进行现场查看，单独完成验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合同到期前</w:t>
      </w:r>
      <w:r>
        <w:rPr>
          <w:rFonts w:ascii="宋体" w:hAnsi="宋体" w:eastAsia="宋体" w:cs="宋体"/>
          <w:color w:val="000000" w:themeColor="text1"/>
          <w:sz w:val="21"/>
          <w:szCs w:val="21"/>
          <w:highlight w:val="none"/>
          <w14:textFill>
            <w14:solidFill>
              <w14:schemeClr w14:val="tx1"/>
            </w14:solidFill>
          </w14:textFill>
        </w:rPr>
        <w:t xml:space="preserve">30日，甲方需对</w:t>
      </w:r>
      <w:r>
        <w:rPr>
          <w:rFonts w:hint="eastAsia" w:ascii="宋体" w:hAnsi="宋体" w:eastAsia="宋体" w:cs="宋体"/>
          <w:color w:val="000000" w:themeColor="text1"/>
          <w:sz w:val="21"/>
          <w:szCs w:val="21"/>
          <w:highlight w:val="none"/>
          <w14:textFill>
            <w14:solidFill>
              <w14:schemeClr w14:val="tx1"/>
            </w14:solidFill>
          </w14:textFill>
        </w:rPr>
        <w:t xml:space="preserve">取水口等进行重点查看，发现问题且属于乙方修理职责范围内的，甲方出具修理的书面意见，明确修理内容和时间，乙方应按时完成修理，如乙方未按甲方要求就行修理的，甲方有权自行修理或委托第三方修理，相关费用从乙方合同款中扣除。</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乙方履行完毕上述全部义务后（包括水、电费已付清），甲方出具《养护移交单（养护项目）》、、《养护移交单》与乙方办理移交。</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如乙方未按约履行上述义务，甲方有权与新中标单位直接办理移交。乙方合同到期日起满一年仍未移交结束的，视为乙方主动放弃该合同所有遗留尾款及保证金，甲方不再予以支付。</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6、履约保证金退还</w:t>
      </w:r>
      <w:bookmarkEnd w:id="62"/>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3"/>
      </w:pPr>
      <w:r>
        <w:rPr>
          <w:rFonts w:hint="eastAsia" w:ascii="宋体" w:hAnsi="宋体" w:eastAsia="宋体" w:cs="宋体"/>
          <w:color w:val="000000" w:themeColor="text1"/>
          <w:sz w:val="21"/>
          <w:szCs w:val="21"/>
          <w:highlight w:val="none"/>
          <w14:textFill>
            <w14:solidFill>
              <w14:schemeClr w14:val="tx1"/>
            </w14:solidFill>
          </w14:textFill>
        </w:rPr>
        <w:t xml:space="preserve">本项目履约保证金金额为人民币（大写）：</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（小写：¥</w:t>
      </w:r>
      <w:r>
        <w:rPr>
          <w:rFonts w:ascii="宋体" w:hAnsi="宋体" w:eastAsia="宋体" w:cs="宋体"/>
          <w:color w:val="000000" w:themeColor="text1"/>
          <w:sz w:val="21"/>
          <w:szCs w:val="21"/>
          <w:highlight w:val="none"/>
          <w14:textFill>
            <w14:solidFill>
              <w14:schemeClr w14:val="tx1"/>
            </w14:solidFill>
          </w14:textFill>
        </w:rPr>
        <w:t xml:space="preserve"> </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无息）在服务期满且服务缺陷更正后，乙方配合甲方和新中标单位办理移交手续，由甲方签发《项目履约验收证书》后退还。如乙方对服务缺陷不予更正，甲方有权另请其他单位更正，所发生的费用在履约保证金中扣除，不足部分由乙方以自有资金即时主动补足。乙方在本协议或本项目项下应当承担的其他违约金、欠款、赔偿等各种款项，甲方亦有权直接从履约保证金中扣除，不足部分由乙方以自有资金即时主动补足。</w:t>
      </w:r>
      <w:r/>
    </w:p>
    <w:p>
      <w:pPr>
        <w:ind w:firstLine="422"/>
        <w:spacing w:line="360" w:lineRule="auto"/>
        <w:rPr>
          <w:rFonts w:ascii="宋体" w:hAnsi="宋体" w:eastAsia="宋体" w:cs="宋体"/>
          <w:color w:val="000000" w:themeColor="text1"/>
          <w:sz w:val="21"/>
          <w:szCs w:val="21"/>
          <w:highlight w:val="none"/>
          <w14:textFill>
            <w14:solidFill>
              <w14:schemeClr w14:val="tx1"/>
            </w14:solidFill>
          </w14:textFill>
        </w:rPr>
        <w:outlineLvl w:val="0"/>
      </w:pPr>
      <w:r/>
      <w:bookmarkStart w:id="63" w:name="_Toc153983292"/>
      <w:r>
        <w:rPr>
          <w:rFonts w:hint="eastAsia" w:ascii="宋体" w:hAnsi="宋体" w:eastAsia="宋体" w:cs="宋体"/>
          <w:b/>
          <w:color w:val="000000" w:themeColor="text1"/>
          <w:sz w:val="21"/>
          <w:szCs w:val="21"/>
          <w:highlight w:val="none"/>
          <w14:textFill>
            <w14:solidFill>
              <w14:schemeClr w14:val="tx1"/>
            </w14:solidFill>
          </w14:textFill>
        </w:rPr>
        <w:t xml:space="preserve">四、合同的变更、解除和终止</w:t>
      </w:r>
      <w:bookmarkEnd w:id="63"/>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64" w:name="_Toc153983293"/>
      <w:r>
        <w:rPr>
          <w:rFonts w:ascii="宋体" w:hAnsi="宋体" w:eastAsia="宋体" w:cs="宋体"/>
          <w:color w:val="000000" w:themeColor="text1"/>
          <w:sz w:val="21"/>
          <w:szCs w:val="21"/>
          <w:highlight w:val="none"/>
          <w14:textFill>
            <w14:solidFill>
              <w14:schemeClr w14:val="tx1"/>
            </w14:solidFill>
          </w14:textFill>
        </w:rPr>
        <w:t xml:space="preserve">1、合同变更</w:t>
      </w:r>
      <w:bookmarkEnd w:id="64"/>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、合同甲方主体的变更</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因上级政策、组织结构等调整，甲方有权概括转让本合同的权利义务，乙方须无条件接受；转让自甲方的书面通知送达乙方时生效。</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、合同的解除和终止</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3.1</w:t>
      </w:r>
      <w:r>
        <w:rPr>
          <w:rFonts w:hint="eastAsia" w:ascii="宋体" w:hAnsi="宋体" w:eastAsia="宋体" w:cs="宋体"/>
          <w:color w:val="000000" w:themeColor="text1"/>
          <w:sz w:val="21"/>
          <w:szCs w:val="21"/>
          <w:highlight w:val="none"/>
          <w14:textFill>
            <w14:solidFill>
              <w14:schemeClr w14:val="tx1"/>
            </w14:solidFill>
          </w14:textFill>
        </w:rPr>
        <w:t xml:space="preserve">、甲方和乙方协商一致，可以解除合同。</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3.2</w:t>
      </w:r>
      <w:r>
        <w:rPr>
          <w:rFonts w:hint="eastAsia" w:ascii="宋体" w:hAnsi="宋体" w:eastAsia="宋体" w:cs="宋体"/>
          <w:color w:val="000000" w:themeColor="text1"/>
          <w:sz w:val="21"/>
          <w:szCs w:val="21"/>
          <w:highlight w:val="none"/>
          <w14:textFill>
            <w14:solidFill>
              <w14:schemeClr w14:val="tx1"/>
            </w14:solidFill>
          </w14:textFill>
        </w:rPr>
        <w:t xml:space="preserve">如本政府采购合同继续履行将损害国家利益和社会公共利益的，应当变更、中止或者终止、解除合同。</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3.3</w:t>
      </w:r>
      <w:r>
        <w:rPr>
          <w:rFonts w:hint="eastAsia" w:ascii="宋体" w:hAnsi="宋体" w:eastAsia="宋体" w:cs="宋体"/>
          <w:color w:val="000000" w:themeColor="text1"/>
          <w:sz w:val="21"/>
          <w:szCs w:val="21"/>
          <w:highlight w:val="none"/>
          <w14:textFill>
            <w14:solidFill>
              <w14:schemeClr w14:val="tx1"/>
            </w14:solidFill>
          </w14:textFill>
        </w:rPr>
        <w:t xml:space="preserve">、在合同期内，符合以下情形之一的，甲方有权单方面解除本合同：</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根据履约评价考核相关办法，乙方年度履约评价为</w:t>
      </w:r>
      <w:r>
        <w:rPr>
          <w:rFonts w:ascii="宋体" w:hAnsi="宋体" w:eastAsia="宋体" w:cs="宋体"/>
          <w:color w:val="000000" w:themeColor="text1"/>
          <w:sz w:val="21"/>
          <w:szCs w:val="21"/>
          <w:highlight w:val="none"/>
          <w14:textFill>
            <w14:solidFill>
              <w14:schemeClr w14:val="tx1"/>
            </w14:solidFill>
          </w14:textFill>
        </w:rPr>
        <w:t xml:space="preserve">D</w:t>
      </w:r>
      <w:r>
        <w:rPr>
          <w:rFonts w:hint="eastAsia" w:ascii="宋体" w:hAnsi="宋体" w:eastAsia="宋体" w:cs="宋体"/>
          <w:color w:val="000000" w:themeColor="text1"/>
          <w:sz w:val="21"/>
          <w:szCs w:val="21"/>
          <w:highlight w:val="none"/>
          <w14:textFill>
            <w14:solidFill>
              <w14:schemeClr w14:val="tx1"/>
            </w14:solidFill>
          </w14:textFill>
        </w:rPr>
        <w:t xml:space="preserve">级的；</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根据履约评价考核相关办法，乙方连续两年履约评价结果为</w:t>
      </w:r>
      <w:r>
        <w:rPr>
          <w:rFonts w:ascii="宋体" w:hAnsi="宋体" w:eastAsia="宋体" w:cs="宋体"/>
          <w:color w:val="000000" w:themeColor="text1"/>
          <w:sz w:val="21"/>
          <w:szCs w:val="21"/>
          <w:highlight w:val="none"/>
          <w14:textFill>
            <w14:solidFill>
              <w14:schemeClr w14:val="tx1"/>
            </w14:solidFill>
          </w14:textFill>
        </w:rPr>
        <w:t xml:space="preserve">C</w:t>
      </w:r>
      <w:r>
        <w:rPr>
          <w:rFonts w:hint="eastAsia" w:ascii="宋体" w:hAnsi="宋体" w:eastAsia="宋体" w:cs="宋体"/>
          <w:color w:val="000000" w:themeColor="text1"/>
          <w:sz w:val="21"/>
          <w:szCs w:val="21"/>
          <w:highlight w:val="none"/>
          <w14:textFill>
            <w14:solidFill>
              <w14:schemeClr w14:val="tx1"/>
            </w14:solidFill>
          </w14:textFill>
        </w:rPr>
        <w:t xml:space="preserve">级的；</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根据履约评价与考核相关办法，乙方连续</w:t>
      </w: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个月日常考核分数低于</w:t>
      </w:r>
      <w:r>
        <w:rPr>
          <w:rFonts w:ascii="宋体" w:hAnsi="宋体" w:eastAsia="宋体" w:cs="宋体"/>
          <w:color w:val="000000" w:themeColor="text1"/>
          <w:sz w:val="21"/>
          <w:szCs w:val="21"/>
          <w:highlight w:val="none"/>
          <w14:textFill>
            <w14:solidFill>
              <w14:schemeClr w14:val="tx1"/>
            </w14:solidFill>
          </w14:textFill>
        </w:rPr>
        <w:t xml:space="preserve">60</w:t>
      </w:r>
      <w:r>
        <w:rPr>
          <w:rFonts w:hint="eastAsia" w:ascii="宋体" w:hAnsi="宋体" w:eastAsia="宋体" w:cs="宋体"/>
          <w:color w:val="000000" w:themeColor="text1"/>
          <w:sz w:val="21"/>
          <w:szCs w:val="21"/>
          <w:highlight w:val="none"/>
          <w14:textFill>
            <w14:solidFill>
              <w14:schemeClr w14:val="tx1"/>
            </w14:solidFill>
          </w14:textFill>
        </w:rPr>
        <w:t xml:space="preserve">分的；</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乙方以联合体形式中标履约的，联合体成员一方破产或注销的；</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乙方为本合同服务的人员（车辆）出现罢工或停止正常作业服务，经甲方通知或相关政府部门通告后，乙方</w:t>
      </w:r>
      <w:r>
        <w:rPr>
          <w:rFonts w:ascii="宋体" w:hAnsi="宋体" w:eastAsia="宋体" w:cs="宋体"/>
          <w:color w:val="000000" w:themeColor="text1"/>
          <w:sz w:val="21"/>
          <w:szCs w:val="21"/>
          <w:highlight w:val="none"/>
          <w14:textFill>
            <w14:solidFill>
              <w14:schemeClr w14:val="tx1"/>
            </w14:solidFill>
          </w14:textFill>
        </w:rPr>
        <w:t xml:space="preserve">24</w:t>
      </w:r>
      <w:r>
        <w:rPr>
          <w:rFonts w:hint="eastAsia" w:ascii="宋体" w:hAnsi="宋体" w:eastAsia="宋体" w:cs="宋体"/>
          <w:color w:val="000000" w:themeColor="text1"/>
          <w:sz w:val="21"/>
          <w:szCs w:val="21"/>
          <w:highlight w:val="none"/>
          <w14:textFill>
            <w14:solidFill>
              <w14:schemeClr w14:val="tx1"/>
            </w14:solidFill>
          </w14:textFill>
        </w:rPr>
        <w:t xml:space="preserve">小时内未能恢复正常作业服务或未能提供能保障正常履约服务的书面证明材料的；</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甲方发现乙方可能存在以下情况，经甲方通知，乙方应于</w:t>
      </w:r>
      <w:r>
        <w:rPr>
          <w:rFonts w:ascii="宋体" w:hAnsi="宋体" w:eastAsia="宋体" w:cs="宋体"/>
          <w:color w:val="000000" w:themeColor="text1"/>
          <w:sz w:val="21"/>
          <w:szCs w:val="21"/>
          <w:highlight w:val="none"/>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日内向甲方提供书面说明，并提供相关证据材料、财务数据，如不能证明乙方经营状况良好的，甲方有权解除合同：①经营状况严重恶化</w:t>
      </w: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②转移财产、抽逃资金</w:t>
      </w:r>
      <w:r>
        <w:rPr>
          <w:rFonts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以逃避债务</w:t>
      </w: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③丧失商业信誉</w:t>
      </w:r>
      <w:r>
        <w:rPr>
          <w:rFonts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④有丧失或者可能丧失履行债务能力的其他情形。</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、不可抗力</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4.1</w:t>
      </w:r>
      <w:r>
        <w:rPr>
          <w:rFonts w:hint="eastAsia" w:ascii="宋体" w:hAnsi="宋体" w:eastAsia="宋体" w:cs="宋体"/>
          <w:color w:val="000000" w:themeColor="text1"/>
          <w:sz w:val="21"/>
          <w:szCs w:val="21"/>
          <w:highlight w:val="none"/>
          <w14:textFill>
            <w14:solidFill>
              <w14:schemeClr w14:val="tx1"/>
            </w14:solidFill>
          </w14:textFill>
        </w:rPr>
        <w:t xml:space="preserve">、因不可抗力不能履行本合同的，根据不可抗力的影响，部分或者全部免除责任。但合同一方迟延履行合同义务后发生不可抗力的，违约方不能免除责任。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14:textFill>
            <w14:solidFill>
              <w14:schemeClr w14:val="tx1"/>
            </w14:solidFill>
          </w14:textFill>
        </w:rPr>
        <w:t xml:space="preserve">、合同一方因不可抗力不能履行本合同的，应当及时通知对方，以减轻可能给对方造成的损失，并应当在不可抗力发生之日起</w:t>
      </w:r>
      <w:r>
        <w:rPr>
          <w:rFonts w:ascii="宋体" w:hAnsi="宋体" w:eastAsia="宋体" w:cs="宋体"/>
          <w:color w:val="000000" w:themeColor="text1"/>
          <w:sz w:val="21"/>
          <w:szCs w:val="21"/>
          <w:highlight w:val="none"/>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日内提供权威部门出具的认定不可抗力的证明。</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4.3</w:t>
      </w:r>
      <w:r>
        <w:rPr>
          <w:rFonts w:hint="eastAsia" w:ascii="宋体" w:hAnsi="宋体" w:eastAsia="宋体" w:cs="宋体"/>
          <w:color w:val="000000" w:themeColor="text1"/>
          <w:sz w:val="21"/>
          <w:szCs w:val="21"/>
          <w:highlight w:val="none"/>
          <w14:textFill>
            <w14:solidFill>
              <w14:schemeClr w14:val="tx1"/>
            </w14:solidFill>
          </w14:textFill>
        </w:rPr>
        <w:t xml:space="preserve">、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bookmarkStart w:id="65" w:name="_Toc153983300"/>
      <w:r>
        <w:rPr>
          <w:rFonts w:hint="eastAsia" w:ascii="宋体" w:hAnsi="宋体" w:eastAsia="宋体" w:cs="宋体"/>
          <w:b/>
          <w:color w:val="000000" w:themeColor="text1"/>
          <w:sz w:val="21"/>
          <w:szCs w:val="21"/>
          <w:highlight w:val="none"/>
          <w14:textFill>
            <w14:solidFill>
              <w14:schemeClr w14:val="tx1"/>
            </w14:solidFill>
          </w14:textFill>
        </w:rPr>
        <w:t xml:space="preserve">五、违约责任</w:t>
      </w:r>
      <w:bookmarkEnd w:id="65"/>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合同一方不履行合同义务或者履行合同义务不符合约定的，应当承担继续履行、采取补救措施或赔偿损失等违约责任。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66" w:name="_Toc153983301"/>
      <w:r>
        <w:rPr>
          <w:rFonts w:ascii="宋体" w:hAnsi="宋体" w:eastAsia="宋体" w:cs="宋体"/>
          <w:color w:val="000000" w:themeColor="text1"/>
          <w:sz w:val="21"/>
          <w:szCs w:val="21"/>
          <w:highlight w:val="none"/>
          <w14:textFill>
            <w14:solidFill>
              <w14:schemeClr w14:val="tx1"/>
            </w14:solidFill>
          </w14:textFill>
        </w:rPr>
        <w:t xml:space="preserve">1、甲方违约责任</w:t>
      </w:r>
      <w:bookmarkEnd w:id="66"/>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甲方未按照约定时间支付合同价款的，应当承担逾期付款违约责任。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67" w:name="_Toc153983302"/>
      <w:r>
        <w:rPr>
          <w:rFonts w:ascii="宋体" w:hAnsi="宋体" w:eastAsia="宋体" w:cs="宋体"/>
          <w:color w:val="000000" w:themeColor="text1"/>
          <w:sz w:val="21"/>
          <w:szCs w:val="21"/>
          <w:highlight w:val="none"/>
          <w14:textFill>
            <w14:solidFill>
              <w14:schemeClr w14:val="tx1"/>
            </w14:solidFill>
          </w14:textFill>
        </w:rPr>
        <w:t xml:space="preserve">2、乙方违约责任</w:t>
      </w:r>
      <w:bookmarkEnd w:id="67"/>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2.1、甲方有权按照本合同规定对乙方进行考核，并按照考核办法的规定要求乙方承担相应责任。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2.2、乙方承担的违约金不足以赔偿甲方实际损失的，甲方有权要求乙方继续赔偿。</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2.3、乙方履行合同不符合合同要求的，甲方有权责令乙方立即改正，乙方拒不改正或已经造成不良社会影响的，甲方有权要求乙方承担责任。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2.4、乙方履行合同不符合要求，被取消中标资格（或终止、解除合同）的，并不能免除其支付违约金的责任，且乙方将在三年内不得参与甲方所有招标项目的投标。</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2.5、乙方在一个考核年度内未能完全履行相关义务造成服务中断、员工上访、罢工歇业、劳动合同争议或其他纠纷，甲方有权拒付当年度服务费尾款，并由乙方承担违约责任。</w:t>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bookmarkStart w:id="68" w:name="_Toc153983303"/>
      <w:r>
        <w:rPr>
          <w:rFonts w:hint="eastAsia" w:ascii="宋体" w:hAnsi="宋体" w:eastAsia="宋体" w:cs="宋体"/>
          <w:b/>
          <w:color w:val="000000" w:themeColor="text1"/>
          <w:sz w:val="21"/>
          <w:szCs w:val="21"/>
          <w:highlight w:val="none"/>
          <w14:textFill>
            <w14:solidFill>
              <w14:schemeClr w14:val="tx1"/>
            </w14:solidFill>
          </w14:textFill>
        </w:rPr>
        <w:t xml:space="preserve">六、合同的争议解决</w:t>
      </w:r>
      <w:bookmarkEnd w:id="68"/>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69" w:name="_Toc153983304"/>
      <w:r>
        <w:rPr>
          <w:rFonts w:ascii="宋体" w:hAnsi="宋体" w:eastAsia="宋体" w:cs="宋体"/>
          <w:color w:val="000000" w:themeColor="text1"/>
          <w:sz w:val="21"/>
          <w:szCs w:val="21"/>
          <w:highlight w:val="none"/>
          <w14:textFill>
            <w14:solidFill>
              <w14:schemeClr w14:val="tx1"/>
            </w14:solidFill>
          </w14:textFill>
        </w:rPr>
        <w:t xml:space="preserve">1、管辖法院及送达</w:t>
      </w:r>
      <w:bookmarkEnd w:id="69"/>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本合同未尽之处双方协商解决。本合同发生争议无法协商解决时，双方同意向甲方所在地有管辖权的人民法院诉讼解决。除有争议条款外，本合同其他条款继续履行。</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2、乙方保证本合同中明确的通讯方式为乙方单位各类文书送达地址，如发生变化，乙方应提前3日书面加盖公章通知甲方。</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3、甲方可选择邮寄（包括特快专递、平信邮寄、挂号邮寄）、传真、电子通讯方式或专人送达等任一方式送达乙方。</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5、如甲乙之间因合同纠纷发生争议诉至法院，乙方确认本合同载明的上述地址为人民法院司法文书的送达地址。</w:t>
      </w:r>
      <w:r/>
    </w:p>
    <w:p>
      <w:pPr>
        <w:ind w:firstLine="422"/>
        <w:spacing w:line="360" w:lineRule="auto"/>
        <w:rPr>
          <w:rFonts w:ascii="宋体" w:hAnsi="宋体" w:eastAsia="宋体" w:cs="宋体"/>
          <w:color w:val="000000" w:themeColor="text1"/>
          <w:sz w:val="21"/>
          <w:szCs w:val="21"/>
          <w:highlight w:val="none"/>
          <w14:textFill>
            <w14:solidFill>
              <w14:schemeClr w14:val="tx1"/>
            </w14:solidFill>
          </w14:textFill>
        </w:rPr>
        <w:outlineLvl w:val="0"/>
      </w:pPr>
      <w:r/>
      <w:bookmarkStart w:id="70" w:name="_Toc153983305"/>
      <w:r>
        <w:rPr>
          <w:rFonts w:hint="eastAsia" w:ascii="宋体" w:hAnsi="宋体" w:eastAsia="宋体" w:cs="宋体"/>
          <w:b/>
          <w:color w:val="000000" w:themeColor="text1"/>
          <w:sz w:val="21"/>
          <w:szCs w:val="21"/>
          <w:highlight w:val="none"/>
          <w14:textFill>
            <w14:solidFill>
              <w14:schemeClr w14:val="tx1"/>
            </w14:solidFill>
          </w14:textFill>
        </w:rPr>
        <w:t xml:space="preserve">七、其他内容</w:t>
      </w:r>
      <w:bookmarkEnd w:id="70"/>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4"/>
      </w:pPr>
      <w:r>
        <w:rPr>
          <w:rFonts w:ascii="宋体" w:hAnsi="宋体" w:eastAsia="宋体" w:cs="宋体"/>
          <w:color w:val="000000" w:themeColor="text1"/>
          <w:sz w:val="21"/>
          <w:szCs w:val="21"/>
          <w:highlight w:val="none"/>
          <w14:textFill>
            <w14:solidFill>
              <w14:schemeClr w14:val="tx1"/>
            </w14:solidFill>
          </w14:textFill>
        </w:rPr>
        <w:t xml:space="preserve">1、关于不得拖欠作业工人劳动报酬的规定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按照相关法律法规要求，向其聘用、服务本项目的作业工人，按时、足额发放工资和（或）支付劳动报酬。若乙方因任何原因，致发放不及时、不到位，进而产生严重后果和（或）出现相关仲裁、判决等事项的，甲方有权动用包括原拟支付、返还给乙方的服务费、合同尾款、履约保证金等在内的款项，代为支付乙方拖欠的工资和（或）报酬。</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4"/>
      </w:pPr>
      <w:r>
        <w:rPr>
          <w:rFonts w:ascii="宋体" w:hAnsi="宋体" w:eastAsia="宋体" w:cs="宋体"/>
          <w:color w:val="000000" w:themeColor="text1"/>
          <w:sz w:val="21"/>
          <w:szCs w:val="21"/>
          <w:highlight w:val="none"/>
          <w14:textFill>
            <w14:solidFill>
              <w14:schemeClr w14:val="tx1"/>
            </w14:solidFill>
          </w14:textFill>
        </w:rPr>
        <w:t xml:space="preserve">2、环卫工人第十三个月工资及春节慰问金发放要求</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乙方应根据苏州市环卫第十三个月工资及春节慰问金相关发放要求发放第十三个月工资与春节慰问金，第十三个月工资不低于当年苏州市最低工资标准，春节慰问金不低于每人每年</w:t>
      </w:r>
      <w:r>
        <w:rPr>
          <w:rFonts w:ascii="宋体" w:hAnsi="宋体" w:eastAsia="宋体" w:cs="宋体"/>
          <w:color w:val="000000" w:themeColor="text1"/>
          <w:sz w:val="21"/>
          <w:szCs w:val="21"/>
          <w:highlight w:val="none"/>
          <w14:textFill>
            <w14:solidFill>
              <w14:schemeClr w14:val="tx1"/>
            </w14:solidFill>
          </w14:textFill>
        </w:rPr>
        <w:t xml:space="preserve">1000元。如有因相关薪酬发放问题导致的劳务纠纷均由乙方负责并承担相应责任。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4"/>
      </w:pPr>
      <w:r>
        <w:rPr>
          <w:rFonts w:ascii="宋体" w:hAnsi="宋体" w:eastAsia="宋体" w:cs="宋体"/>
          <w:color w:val="000000" w:themeColor="text1"/>
          <w:sz w:val="21"/>
          <w:szCs w:val="21"/>
          <w:highlight w:val="none"/>
          <w14:textFill>
            <w14:solidFill>
              <w14:schemeClr w14:val="tx1"/>
            </w14:solidFill>
          </w14:textFill>
        </w:rPr>
        <w:t xml:space="preserve">3、防暑降温用品发放要求</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乙方需在夏季高温期间，为其聘用的作业人员发放防暑降温用品。如有因防暑降温用品发放问题导致的劳务纠纷均由乙方负责并承担相应责任。防暑降温物品要求详见附件。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3"/>
      </w:pPr>
      <w:r>
        <w:rPr>
          <w:rFonts w:ascii="宋体" w:hAnsi="宋体" w:eastAsia="宋体" w:cs="宋体"/>
          <w:color w:val="000000" w:themeColor="text1"/>
          <w:sz w:val="21"/>
          <w:szCs w:val="21"/>
          <w:highlight w:val="none"/>
          <w14:textFill>
            <w14:solidFill>
              <w14:schemeClr w14:val="tx1"/>
            </w14:solidFill>
          </w14:textFill>
        </w:rPr>
        <w:t xml:space="preserve">4、中小企业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中小企业依据预留项目和价格扣除等优惠政策获取政府采购合同后，小型、微型企业不得分包或转包给大型、中型企业，中型企业不得分包或转包给大型企业。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3"/>
      </w:pPr>
      <w:r>
        <w:rPr>
          <w:rFonts w:ascii="宋体" w:hAnsi="宋体" w:eastAsia="宋体" w:cs="宋体"/>
          <w:color w:val="000000" w:themeColor="text1"/>
          <w:sz w:val="21"/>
          <w:szCs w:val="21"/>
          <w:highlight w:val="none"/>
          <w14:textFill>
            <w14:solidFill>
              <w14:schemeClr w14:val="tx1"/>
            </w14:solidFill>
          </w14:textFill>
        </w:rPr>
        <w:t xml:space="preserve">5、“园采贷”</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w:t>
      </w:r>
      <w:r>
        <w:rPr>
          <w:rFonts w:ascii="宋体" w:hAnsi="宋体" w:eastAsia="宋体" w:cs="宋体"/>
          <w:color w:val="000000" w:themeColor="text1"/>
          <w:sz w:val="21"/>
          <w:szCs w:val="21"/>
          <w:highlight w:val="none"/>
          <w14:textFill>
            <w14:solidFill>
              <w14:schemeClr w14:val="tx1"/>
            </w14:solidFill>
          </w14:textFill>
        </w:rPr>
        <w:t xml:space="preserve">10个工作日书面通知甲方，否则产生的一切责任、因变更引起的额外费用由乙方承担。</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6、乙方帐号</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开户名称：</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银行账号：</w:t>
      </w:r>
      <w:r>
        <w:rPr>
          <w:rFonts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7、履约评价</w:t>
      </w:r>
      <w:r/>
    </w:p>
    <w:p>
      <w:pPr>
        <w:ind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乙方自愿接受</w:t>
      </w:r>
      <w:r>
        <w:rPr>
          <w:rFonts w:hint="eastAsia" w:ascii="宋体" w:hAnsi="宋体" w:eastAsia="宋体" w:cs="宋体"/>
          <w:color w:val="000000" w:themeColor="text1"/>
          <w:sz w:val="21"/>
          <w:szCs w:val="21"/>
          <w:highlight w:val="none"/>
          <w14:textFill>
            <w14:solidFill>
              <w14:schemeClr w14:val="tx1"/>
            </w14:solidFill>
          </w14:textFill>
        </w:rPr>
        <w:t xml:space="preserve">《苏州工业园区城维项目承包企业履约评价考核实施办法》</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根据相关监管要求的动态调整</w:t>
      </w:r>
      <w:r>
        <w:rPr>
          <w:rFonts w:hint="eastAsia" w:ascii="宋体" w:hAnsi="宋体" w:eastAsia="宋体" w:cs="宋体"/>
          <w:color w:val="000000" w:themeColor="text1"/>
          <w:sz w:val="21"/>
          <w:szCs w:val="21"/>
          <w:highlight w:val="none"/>
          <w14:textFill>
            <w14:solidFill>
              <w14:schemeClr w14:val="tx1"/>
            </w14:solidFill>
          </w14:textFill>
        </w:rPr>
        <w:t xml:space="preserve">。</w:t>
      </w:r>
      <w:bookmarkStart w:id="71" w:name="_Toc153983306"/>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b/>
          <w:color w:val="000000" w:themeColor="text1"/>
          <w:sz w:val="21"/>
          <w:szCs w:val="21"/>
          <w:highlight w:val="none"/>
          <w14:textFill>
            <w14:solidFill>
              <w14:schemeClr w14:val="tx1"/>
            </w14:solidFill>
          </w14:textFill>
        </w:rPr>
        <w:t xml:space="preserve">八、合同的生效、组成、解释及份数</w:t>
      </w:r>
      <w:bookmarkEnd w:id="71"/>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9"/>
      </w:pPr>
      <w:r/>
      <w:bookmarkStart w:id="72" w:name="_Toc153983307"/>
      <w:r>
        <w:rPr>
          <w:rFonts w:ascii="宋体" w:hAnsi="宋体" w:eastAsia="宋体" w:cs="宋体"/>
          <w:color w:val="000000" w:themeColor="text1"/>
          <w:sz w:val="21"/>
          <w:szCs w:val="21"/>
          <w:highlight w:val="none"/>
          <w14:textFill>
            <w14:solidFill>
              <w14:schemeClr w14:val="tx1"/>
            </w14:solidFill>
          </w14:textFill>
        </w:rPr>
        <w:t xml:space="preserve">1、</w:t>
      </w:r>
      <w:bookmarkEnd w:id="72"/>
      <w:r/>
      <w:bookmarkStart w:id="73" w:name="_Toc153983308"/>
      <w:r>
        <w:rPr>
          <w:rFonts w:hint="eastAsia" w:ascii="宋体" w:hAnsi="宋体" w:eastAsia="宋体" w:cs="宋体"/>
          <w:color w:val="000000" w:themeColor="text1"/>
          <w:sz w:val="21"/>
          <w:szCs w:val="21"/>
          <w:highlight w:val="none"/>
          <w14:textFill>
            <w14:solidFill>
              <w14:schemeClr w14:val="tx1"/>
            </w14:solidFill>
          </w14:textFill>
        </w:rPr>
        <w:t xml:space="preserve">合同文件的组成</w:t>
      </w:r>
      <w:bookmarkEnd w:id="73"/>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1.下列文件为本合同不可分割部分：</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1）中标通知书； </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2）乙方的投标文件；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3）乙方在招投标过程中所作的其它承诺、声明、书面澄清等；</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4）招标文件及其附件；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5）其他合同附件。</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rPr>
          <w:rFonts w:ascii="宋体" w:hAnsi="宋体" w:eastAsia="宋体" w:cs="宋体"/>
          <w:color w:val="000000" w:themeColor="text1"/>
          <w:sz w:val="21"/>
          <w:szCs w:val="21"/>
          <w:highlight w:val="none"/>
          <w14:textFill>
            <w14:solidFill>
              <w14:schemeClr w14:val="tx1"/>
            </w14:solidFill>
          </w14:textFill>
        </w:rPr>
        <w:t xml:space="preserve">.2、本合同履行过程中产生的纪要、协议以及中标通知书、投标文件和采购文件，双方有关本项目的洽商、变更等书面协议或文件视为本合同协议条款的组成部分，与合同具有同等效力。</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74" w:name="_Toc153983309"/>
      <w:r>
        <w:rPr>
          <w:rFonts w:hint="eastAsia" w:ascii="宋体" w:hAnsi="宋体" w:eastAsia="宋体" w:cs="宋体"/>
          <w:color w:val="000000" w:themeColor="text1"/>
          <w:sz w:val="21"/>
          <w:szCs w:val="21"/>
          <w:highlight w:val="none"/>
          <w14:textFill>
            <w14:solidFill>
              <w14:schemeClr w14:val="tx1"/>
            </w14:solidFill>
          </w14:textFill>
        </w:rPr>
        <w:t xml:space="preserve">2、合同的文字和解释</w:t>
      </w:r>
      <w:bookmarkEnd w:id="74"/>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本合同文件使用中文书写、解释和说明；本合同未尽事宜参照《中华人民共和国民法典》、《中华人民共和国政府采购法》以及其他相关法律、法规之规定。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bookmarkStart w:id="75" w:name="_Toc153983310"/>
      <w:r>
        <w:rPr>
          <w:rFonts w:hint="eastAsia" w:ascii="宋体" w:hAnsi="宋体" w:eastAsia="宋体" w:cs="宋体"/>
          <w:color w:val="000000" w:themeColor="text1"/>
          <w:sz w:val="21"/>
          <w:szCs w:val="21"/>
          <w:highlight w:val="none"/>
          <w14:textFill>
            <w14:solidFill>
              <w14:schemeClr w14:val="tx1"/>
            </w14:solidFill>
          </w14:textFill>
        </w:rPr>
        <w:t xml:space="preserve">3、合同正本的数量</w:t>
      </w:r>
      <w:bookmarkEnd w:id="75"/>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合同一式五份，甲方及相关部门执三份，乙方执一份，采购代理机构一份，各份具有同等法律效力。</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4、签订日期与签订地点</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本合同于</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日签订。合同签订地点：苏州工业园区。</w:t>
      </w:r>
      <w:r/>
    </w:p>
    <w:p>
      <w:pPr>
        <w:pStyle w:val="1133"/>
        <w:ind w:left="520"/>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22"/>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bookmarkStart w:id="76" w:name="_Toc153983311"/>
      <w:r>
        <w:rPr>
          <w:rFonts w:hint="eastAsia" w:ascii="宋体" w:hAnsi="宋体" w:eastAsia="宋体" w:cs="宋体"/>
          <w:b/>
          <w:color w:val="000000" w:themeColor="text1"/>
          <w:sz w:val="21"/>
          <w:szCs w:val="21"/>
          <w:highlight w:val="none"/>
          <w14:textFill>
            <w14:solidFill>
              <w14:schemeClr w14:val="tx1"/>
            </w14:solidFill>
          </w14:textFill>
        </w:rPr>
        <w:t xml:space="preserve">九、合同附件</w:t>
      </w:r>
      <w:bookmarkEnd w:id="76"/>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1、廉政合同</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2、项目安全协议书</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spacing w:line="360"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ascii="宋体" w:hAnsi="宋体" w:eastAsia="宋体" w:cs="宋体"/>
          <w:color w:val="000000" w:themeColor="text1"/>
          <w:sz w:val="21"/>
          <w:szCs w:val="21"/>
          <w:highlight w:val="none"/>
          <w14:textFill>
            <w14:solidFill>
              <w14:schemeClr w14:val="tx1"/>
            </w14:solidFill>
          </w14:textFill>
        </w:rPr>
        <w:t xml:space="preserve">                                       乙方：                         </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（加盖公章或合同专用章）</w:t>
      </w:r>
      <w:r>
        <w:rPr>
          <w:rFonts w:ascii="宋体" w:hAnsi="宋体" w:eastAsia="宋体" w:cs="宋体"/>
          <w:color w:val="000000" w:themeColor="text1"/>
          <w:sz w:val="21"/>
          <w:szCs w:val="21"/>
          <w:highlight w:val="none"/>
          <w14:textFill>
            <w14:solidFill>
              <w14:schemeClr w14:val="tx1"/>
            </w14:solidFill>
          </w14:textFill>
        </w:rPr>
        <w:t xml:space="preserve">                    （加盖公章或合同专用章）        </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法定代表人（签字或签章）：</w:t>
      </w:r>
      <w:r>
        <w:rPr>
          <w:rFonts w:ascii="宋体" w:hAnsi="宋体" w:eastAsia="宋体" w:cs="宋体"/>
          <w:color w:val="000000" w:themeColor="text1"/>
          <w:sz w:val="21"/>
          <w:szCs w:val="21"/>
          <w:highlight w:val="none"/>
          <w14:textFill>
            <w14:solidFill>
              <w14:schemeClr w14:val="tx1"/>
            </w14:solidFill>
          </w14:textFill>
        </w:rPr>
        <w:t xml:space="preserve">                    法定代表人（签字或签章）：   </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jc w:val="left"/>
        <w:widowControl/>
        <w:rPr>
          <w:rFonts w:ascii="方正仿宋简体" w:hAnsi="创艺简仿宋" w:eastAsia="方正仿宋简体"/>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br w:type="page" w:clear="all"/>
      </w:r>
      <w:r/>
    </w:p>
    <w:p>
      <w:pPr>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合同附件一：</w:t>
      </w:r>
      <w:r/>
    </w:p>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廉</w:t>
      </w:r>
      <w:r>
        <w:rPr>
          <w:rFonts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政</w:t>
      </w:r>
      <w:r>
        <w:rPr>
          <w:rFonts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协</w:t>
      </w:r>
      <w:r>
        <w:rPr>
          <w:rFonts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议</w:t>
      </w:r>
      <w:r/>
    </w:p>
    <w:p>
      <w:pPr>
        <w:pStyle w:val="1246"/>
        <w:ind w:firstLine="420"/>
        <w:spacing w:before="0" w:beforeAutospacing="0" w:after="0" w:afterAutospacing="0" w:line="46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ind w:left="1291" w:hanging="720"/>
        <w:spacing w:line="4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一、总则</w:t>
      </w:r>
      <w:r/>
    </w:p>
    <w:p>
      <w:pPr>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双方及其工作人员均应遵守国家和省、市以及行业主管部门关于党风廉政建设、行业管理等各项规定。</w:t>
      </w:r>
      <w:r/>
    </w:p>
    <w:p>
      <w:pPr>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双方及其工作人员应自觉履行约定的合同内容及廉政协议各项规定，全面履行合同约定的其他权利义务。</w:t>
      </w:r>
      <w:r/>
    </w:p>
    <w:p>
      <w:pPr>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双方的业务活动坚持公平、公正、透明的原则（法律法规另有规定的除外），严禁损害国家和集体利益，不得发生违反项目管理规章制度进行不正当交易活动。</w:t>
      </w:r>
      <w:r/>
    </w:p>
    <w:p>
      <w:pPr>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双方应建立健全廉政管理制度，对己方人员加强廉政教育、进行廉政监督，执行廉政协议，落实廉洁自律规定，对发现的问题及时纠正，严肃处理。</w:t>
      </w:r>
      <w:r/>
    </w:p>
    <w:p>
      <w:pPr>
        <w:numPr>
          <w:ilvl w:val="1"/>
          <w:numId w:val="0"/>
        </w:numPr>
        <w:ind w:firstLine="472"/>
        <w:spacing w:line="460" w:lineRule="exact"/>
        <w:tabs>
          <w:tab w:val="left" w:pos="0" w:leader="none"/>
          <w:tab w:val="left" w:pos="764" w:leader="none"/>
          <w:tab w:val="left" w:pos="955" w:leader="none"/>
          <w:tab w:val="left" w:pos="1146"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甲乙双方及其工作人员在业务活动中发现对方有违纪违法行为的，应主动上报。双方均鼓励举报行为，对举报者信息进行一定范围的保密，保障举报者人身权益。</w:t>
      </w:r>
      <w:r/>
    </w:p>
    <w:p>
      <w:pPr>
        <w:ind w:left="1291" w:hanging="720"/>
        <w:spacing w:line="4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二、甲方在廉政建设方面的责任</w:t>
      </w:r>
      <w:r/>
    </w:p>
    <w:p>
      <w:pPr>
        <w:numPr>
          <w:ilvl w:val="1"/>
          <w:numId w:val="0"/>
        </w:numPr>
        <w:ind w:firstLine="472"/>
        <w:spacing w:line="460" w:lineRule="exact"/>
        <w:tabs>
          <w:tab w:val="left" w:pos="955" w:leader="none"/>
          <w:tab w:val="left" w:pos="1146" w:leader="none"/>
          <w:tab w:val="left" w:pos="1528"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甲方及其工作人员有责任向乙方介绍本单位有关廉政建设的各项制度和规定。</w:t>
      </w:r>
      <w:r/>
    </w:p>
    <w:p>
      <w:pPr>
        <w:numPr>
          <w:ilvl w:val="1"/>
          <w:numId w:val="0"/>
        </w:numPr>
        <w:ind w:firstLine="472"/>
        <w:spacing w:line="460" w:lineRule="exact"/>
        <w:tabs>
          <w:tab w:val="left" w:pos="955" w:leader="none"/>
          <w:tab w:val="left" w:pos="1146" w:leader="none"/>
          <w:tab w:val="left" w:pos="1528"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甲方及其工作人员应严格遵守廉洁从业各项规定。</w:t>
      </w:r>
      <w:r/>
    </w:p>
    <w:p>
      <w:pPr>
        <w:numPr>
          <w:ilvl w:val="1"/>
          <w:numId w:val="0"/>
        </w:numPr>
        <w:ind w:firstLine="472"/>
        <w:spacing w:line="460" w:lineRule="exact"/>
        <w:tabs>
          <w:tab w:val="left" w:pos="955" w:leader="none"/>
          <w:tab w:val="left" w:pos="1146" w:leader="none"/>
          <w:tab w:val="left" w:pos="1528"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72"/>
        <w:spacing w:line="460" w:lineRule="exact"/>
        <w:tabs>
          <w:tab w:val="left" w:pos="955" w:leader="none"/>
          <w:tab w:val="left" w:pos="1146" w:leader="none"/>
          <w:tab w:val="left" w:pos="1528"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甲方及其工作人员不得在合同履约中为乙方提供其他便利或特殊关照</w:t>
      </w:r>
      <w:r>
        <w:rPr>
          <w:rFonts w:ascii="宋体" w:hAnsi="宋体" w:eastAsia="宋体" w:cs="宋体"/>
          <w:color w:val="000000" w:themeColor="text1"/>
          <w:sz w:val="21"/>
          <w:szCs w:val="21"/>
          <w:highlight w:val="none"/>
          <w14:textFill>
            <w14:solidFill>
              <w14:schemeClr w14:val="tx1"/>
            </w14:solidFill>
          </w14:textFill>
        </w:rPr>
        <w:t xml:space="preserve">,不得利用职务或职务上的影响力以权谋私。</w:t>
      </w:r>
      <w:r/>
    </w:p>
    <w:p>
      <w:pPr>
        <w:numPr>
          <w:ilvl w:val="1"/>
          <w:numId w:val="0"/>
        </w:numPr>
        <w:ind w:firstLine="472"/>
        <w:spacing w:line="460" w:lineRule="exact"/>
        <w:tabs>
          <w:tab w:val="left" w:pos="955" w:leader="none"/>
          <w:tab w:val="left" w:pos="1146" w:leader="none"/>
          <w:tab w:val="left" w:pos="1528"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甲方及其工作人员不得进行违反廉政规定的任何其他活动。</w:t>
      </w:r>
      <w:r/>
    </w:p>
    <w:p>
      <w:pPr>
        <w:ind w:left="1291" w:hanging="720"/>
        <w:spacing w:line="4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三、乙方在廉政建设方面的责任</w:t>
      </w:r>
      <w:r/>
    </w:p>
    <w:p>
      <w:pPr>
        <w:numPr>
          <w:ilvl w:val="1"/>
          <w:numId w:val="0"/>
        </w:numPr>
        <w:ind w:firstLine="472"/>
        <w:spacing w:line="460" w:lineRule="exact"/>
        <w:tabs>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乙方有权了解甲方廉政建设的各项制度和规定，严格按有关规定要求开展业务工作，执行廉政规定，并与甲方签订廉洁承诺书。</w:t>
      </w:r>
      <w:r/>
    </w:p>
    <w:p>
      <w:pPr>
        <w:numPr>
          <w:ilvl w:val="1"/>
          <w:numId w:val="0"/>
        </w:numPr>
        <w:ind w:firstLine="472"/>
        <w:spacing w:line="460" w:lineRule="exact"/>
        <w:tabs>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72"/>
        <w:spacing w:line="460" w:lineRule="exact"/>
        <w:tabs>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乙方及其工作人员不得将甲方工作人员配偶、子女、亲属、朋友等利益相关人员安排至本单位任职，为甲方特定关系人搞权钱交易，输送不当利益。</w:t>
      </w:r>
      <w:r/>
    </w:p>
    <w:p>
      <w:pPr>
        <w:numPr>
          <w:ilvl w:val="1"/>
          <w:numId w:val="0"/>
        </w:numPr>
        <w:ind w:firstLine="472"/>
        <w:spacing w:line="460" w:lineRule="exact"/>
        <w:tabs>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72"/>
        <w:spacing w:line="460" w:lineRule="exact"/>
        <w:tabs>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乙方及其工作人员不得实施违反廉政规定的其他活动。</w:t>
      </w:r>
      <w:r/>
    </w:p>
    <w:p>
      <w:pPr>
        <w:ind w:left="1291" w:hanging="720"/>
        <w:spacing w:line="46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四、违约责任</w:t>
      </w:r>
      <w:r/>
    </w:p>
    <w:p>
      <w:pPr>
        <w:numPr>
          <w:ilvl w:val="1"/>
          <w:numId w:val="0"/>
        </w:numPr>
        <w:ind w:firstLine="472"/>
        <w:spacing w:line="460" w:lineRule="exact"/>
        <w:tabs>
          <w:tab w:val="left" w:pos="955" w:leader="none"/>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甲方及其工作人员有违反本协议，根据党风廉政建设要求和相关法律法规处理。</w:t>
      </w:r>
      <w:r/>
    </w:p>
    <w:p>
      <w:pPr>
        <w:numPr>
          <w:ilvl w:val="1"/>
          <w:numId w:val="0"/>
        </w:numPr>
        <w:ind w:firstLine="472"/>
        <w:spacing w:line="460" w:lineRule="exact"/>
        <w:tabs>
          <w:tab w:val="left" w:pos="955" w:leader="none"/>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2、乙方及其工作人员有违反本协议内容，发生严重违纪或违法行为。</w:t>
      </w:r>
      <w:r/>
    </w:p>
    <w:p>
      <w:pPr>
        <w:numPr>
          <w:ilvl w:val="1"/>
          <w:numId w:val="0"/>
        </w:numPr>
        <w:ind w:firstLine="472"/>
        <w:spacing w:line="460" w:lineRule="exact"/>
        <w:tabs>
          <w:tab w:val="left" w:pos="955" w:leader="none"/>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2.1 </w:t>
      </w:r>
      <w:r>
        <w:rPr>
          <w:rFonts w:hint="eastAsia" w:ascii="宋体" w:hAnsi="宋体" w:eastAsia="宋体" w:cs="宋体"/>
          <w:color w:val="000000" w:themeColor="text1"/>
          <w:sz w:val="21"/>
          <w:szCs w:val="21"/>
          <w:highlight w:val="none"/>
          <w14:textFill>
            <w14:solidFill>
              <w14:schemeClr w14:val="tx1"/>
            </w14:solidFill>
          </w14:textFill>
        </w:rPr>
        <w:t xml:space="preserve">产生严重不良社会舆论，使甲方名誉严重受损的。</w:t>
      </w:r>
      <w:r/>
    </w:p>
    <w:p>
      <w:pPr>
        <w:numPr>
          <w:ilvl w:val="1"/>
          <w:numId w:val="0"/>
        </w:numPr>
        <w:ind w:firstLine="472"/>
        <w:spacing w:line="460" w:lineRule="exact"/>
        <w:tabs>
          <w:tab w:val="left" w:pos="955" w:leader="none"/>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2.2 </w:t>
      </w:r>
      <w:r>
        <w:rPr>
          <w:rFonts w:hint="eastAsia" w:ascii="宋体" w:hAnsi="宋体" w:eastAsia="宋体" w:cs="宋体"/>
          <w:color w:val="000000" w:themeColor="text1"/>
          <w:sz w:val="21"/>
          <w:szCs w:val="21"/>
          <w:highlight w:val="none"/>
          <w14:textFill>
            <w14:solidFill>
              <w14:schemeClr w14:val="tx1"/>
            </w14:solidFill>
          </w14:textFill>
        </w:rPr>
        <w:t xml:space="preserve">乙方项目相关人员在项目履行过程中存在违反廉政要求，被立案侦查的。</w:t>
      </w:r>
      <w:r/>
    </w:p>
    <w:p>
      <w:pPr>
        <w:numPr>
          <w:ilvl w:val="1"/>
          <w:numId w:val="0"/>
        </w:numPr>
        <w:ind w:firstLine="472"/>
        <w:spacing w:line="460" w:lineRule="exact"/>
        <w:tabs>
          <w:tab w:val="left" w:pos="955" w:leader="none"/>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2.3 </w:t>
      </w:r>
      <w:r>
        <w:rPr>
          <w:rFonts w:hint="eastAsia" w:ascii="宋体" w:hAnsi="宋体" w:eastAsia="宋体" w:cs="宋体"/>
          <w:color w:val="000000" w:themeColor="text1"/>
          <w:sz w:val="21"/>
          <w:szCs w:val="21"/>
          <w:highlight w:val="none"/>
          <w14:textFill>
            <w14:solidFill>
              <w14:schemeClr w14:val="tx1"/>
            </w14:solidFill>
          </w14:textFill>
        </w:rPr>
        <w:t xml:space="preserve">乙方项目人员被依法认定廉政相关犯罪的。</w:t>
      </w:r>
      <w:r/>
    </w:p>
    <w:p>
      <w:pPr>
        <w:numPr>
          <w:ilvl w:val="1"/>
          <w:numId w:val="0"/>
        </w:numPr>
        <w:ind w:firstLine="472"/>
        <w:spacing w:line="460" w:lineRule="exact"/>
        <w:tabs>
          <w:tab w:val="left" w:pos="955" w:leader="none"/>
          <w:tab w:val="left" w:pos="1146" w:leader="none"/>
          <w:tab w:val="left" w:pos="2292"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有上述情形的，甲方有权视情况采取人员撤换，暂停项目履行、解除合同等措施。</w:t>
      </w:r>
      <w:r/>
    </w:p>
    <w:p>
      <w:pPr>
        <w:ind w:left="1291" w:hanging="720"/>
        <w:spacing w:line="50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五、其它</w:t>
      </w:r>
      <w:r/>
    </w:p>
    <w:p>
      <w:pPr>
        <w:ind w:firstLine="480"/>
        <w:spacing w:line="500" w:lineRule="exact"/>
        <w:tabs>
          <w:tab w:val="left" w:pos="0" w:leader="none"/>
          <w:tab w:val="left" w:pos="955" w:leader="none"/>
          <w:tab w:val="left" w:pos="1255"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本协议有效期与主合同一致，经协议双方签署后即生效。</w:t>
      </w:r>
      <w:r/>
    </w:p>
    <w:p>
      <w:pPr>
        <w:pStyle w:val="1246"/>
        <w:ind w:firstLine="1045"/>
        <w:spacing w:before="0" w:beforeAutospacing="0" w:after="0" w:afterAutospacing="0" w:line="5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246"/>
        <w:ind w:firstLine="1045"/>
        <w:spacing w:before="0" w:beforeAutospacing="0" w:after="0" w:afterAutospacing="0" w:line="5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甲方单位：</w:t>
      </w:r>
      <w:r>
        <w:rPr>
          <w:color w:val="000000" w:themeColor="text1"/>
          <w:sz w:val="21"/>
          <w:szCs w:val="21"/>
          <w:highlight w:val="non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乙方单位：</w:t>
      </w:r>
      <w:r/>
    </w:p>
    <w:p>
      <w:pPr>
        <w:pStyle w:val="1246"/>
        <w:ind w:firstLine="1045"/>
        <w:spacing w:before="0" w:beforeAutospacing="0" w:after="0" w:afterAutospacing="0" w:line="500" w:lineRule="exact"/>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法定代表人：</w:t>
      </w:r>
      <w:r>
        <w:rPr>
          <w:color w:val="000000" w:themeColor="text1"/>
          <w:sz w:val="21"/>
          <w:szCs w:val="21"/>
          <w:highlight w:val="non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 xml:space="preserve">法定代表人：</w:t>
      </w:r>
      <w:r/>
    </w:p>
    <w:p>
      <w:pPr>
        <w:pStyle w:val="1246"/>
        <w:ind w:firstLine="718"/>
        <w:spacing w:before="0" w:beforeAutospacing="0" w:after="0" w:afterAutospacing="0" w:line="5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pStyle w:val="1246"/>
        <w:ind w:firstLine="718"/>
        <w:spacing w:before="0" w:beforeAutospacing="0" w:after="0" w:afterAutospacing="0" w:line="50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   </w:t>
      </w:r>
      <w:r/>
    </w:p>
    <w:p>
      <w:pPr>
        <w:ind w:firstLine="420"/>
        <w:spacing w:line="360" w:lineRule="auto"/>
        <w:tabs>
          <w:tab w:val="left" w:pos="5545" w:leader="none"/>
        </w:tabs>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合同附件二：</w:t>
      </w:r>
      <w:r/>
    </w:p>
    <w:p>
      <w:pPr>
        <w:ind w:firstLine="482"/>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项目安全协议书</w:t>
      </w:r>
      <w:r/>
    </w:p>
    <w:p>
      <w:pPr>
        <w:spacing w:line="324"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r>
      <w:r/>
    </w:p>
    <w:p>
      <w:pPr>
        <w:spacing w:line="324" w:lineRule="auto"/>
        <w:shd w:val="clear" w:color="auto" w:fill="ffffff"/>
        <w:widowControl/>
        <w:rPr>
          <w:rFonts w:ascii="宋体" w:hAnsi="宋体" w:eastAsia="宋体" w:cs="宋体"/>
          <w:color w:val="000000" w:themeColor="text1"/>
          <w:sz w:val="21"/>
          <w:szCs w:val="21"/>
          <w:highlight w:val="none"/>
          <w:u w:val="singl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ascii="宋体" w:hAnsi="宋体" w:eastAsia="宋体" w:cs="宋体"/>
          <w:color w:val="000000" w:themeColor="text1"/>
          <w:sz w:val="21"/>
          <w:szCs w:val="21"/>
          <w:highlight w:val="none"/>
          <w14:textFill>
            <w14:solidFill>
              <w14:schemeClr w14:val="tx1"/>
            </w14:solidFill>
          </w14:textFill>
        </w:rPr>
        <w:t xml:space="preserve"> </w:t>
      </w:r>
      <w:r/>
    </w:p>
    <w:p>
      <w:pPr>
        <w:spacing w:line="324"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outlineLvl w:val="1"/>
      </w:pPr>
      <w:r>
        <w:rPr>
          <w:rFonts w:hint="eastAsia" w:ascii="宋体" w:hAnsi="宋体" w:eastAsia="宋体" w:cs="宋体"/>
          <w:color w:val="000000" w:themeColor="text1"/>
          <w:sz w:val="21"/>
          <w:szCs w:val="21"/>
          <w:highlight w:val="none"/>
          <w14:textFill>
            <w14:solidFill>
              <w14:schemeClr w14:val="tx1"/>
            </w14:solidFill>
          </w14:textFill>
        </w:rPr>
        <w:t xml:space="preserve">乙方</w:t>
      </w:r>
      <w:r>
        <w:rPr>
          <w:rFonts w:ascii="宋体" w:hAnsi="宋体" w:eastAsia="宋体" w:cs="宋体"/>
          <w:color w:val="000000" w:themeColor="text1"/>
          <w:sz w:val="21"/>
          <w:szCs w:val="21"/>
          <w:highlight w:val="none"/>
          <w14:textFill>
            <w14:solidFill>
              <w14:schemeClr w14:val="tx1"/>
            </w14:solidFill>
          </w14:textFill>
        </w:rPr>
        <w:t xml:space="preserve">: </w:t>
      </w:r>
      <w:r/>
    </w:p>
    <w:p>
      <w:pPr>
        <w:spacing w:line="324"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outlineLvl w:val="1"/>
      </w:pPr>
      <w:r>
        <w:rPr>
          <w:rFonts w:ascii="宋体" w:hAnsi="宋体" w:eastAsia="宋体" w:cs="宋体"/>
          <w:color w:val="000000" w:themeColor="text1"/>
          <w:sz w:val="21"/>
          <w:szCs w:val="21"/>
          <w:highlight w:val="none"/>
          <w14:textFill>
            <w14:solidFill>
              <w14:schemeClr w14:val="tx1"/>
            </w14:solidFill>
          </w14:textFill>
        </w:rPr>
      </w:r>
      <w:r/>
    </w:p>
    <w:p>
      <w:pPr>
        <w:ind w:firstLine="420"/>
        <w:spacing w:line="360" w:lineRule="auto"/>
        <w:shd w:val="clear" w:color="auto" w:fill="ffff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一、项目名称：</w:t>
      </w:r>
      <w:r/>
    </w:p>
    <w:p>
      <w:pPr>
        <w:ind w:firstLine="422"/>
        <w:spacing w:line="360" w:lineRule="auto"/>
        <w:shd w:val="clear" w:color="auto" w:fill="ffff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二、项目概况：</w:t>
      </w:r>
      <w:r>
        <w:rPr>
          <w:rFonts w:hint="eastAsia" w:ascii="宋体" w:hAnsi="宋体" w:eastAsia="宋体" w:cs="宋体"/>
          <w:color w:val="000000" w:themeColor="text1"/>
          <w:sz w:val="21"/>
          <w:szCs w:val="21"/>
          <w:highlight w:val="none"/>
          <w14:textFill>
            <w14:solidFill>
              <w14:schemeClr w14:val="tx1"/>
            </w14:solidFill>
          </w14:textFill>
        </w:rPr>
        <w:t xml:space="preserve">见甲乙双方承发包合同</w:t>
      </w:r>
      <w:r/>
    </w:p>
    <w:p>
      <w:pPr>
        <w:ind w:firstLine="422"/>
        <w:spacing w:line="360" w:lineRule="auto"/>
        <w:shd w:val="clear" w:color="auto" w:fill="ffff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三、安全生产目标：</w:t>
      </w:r>
      <w:r>
        <w:rPr>
          <w:rFonts w:hint="eastAsia" w:ascii="宋体" w:hAnsi="宋体" w:eastAsia="宋体" w:cs="宋体"/>
          <w:bCs/>
          <w:color w:val="000000" w:themeColor="text1"/>
          <w:sz w:val="21"/>
          <w:szCs w:val="21"/>
          <w:highlight w:val="none"/>
          <w14:textFill>
            <w14:solidFill>
              <w14:schemeClr w14:val="tx1"/>
            </w14:solidFill>
          </w14:textFill>
        </w:rPr>
        <w:t xml:space="preserve">安全生产无事故</w:t>
      </w:r>
      <w:r/>
    </w:p>
    <w:p>
      <w:pPr>
        <w:ind w:firstLine="422"/>
        <w:spacing w:line="360" w:lineRule="auto"/>
        <w:shd w:val="clear" w:color="auto" w:fill="ffffff"/>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w:t>
      </w:r>
      <w:r>
        <w:rPr>
          <w:rFonts w:ascii="宋体" w:hAnsi="宋体" w:eastAsia="宋体" w:cs="宋体"/>
          <w:b/>
          <w:bCs/>
          <w:color w:val="000000" w:themeColor="text1"/>
          <w:sz w:val="21"/>
          <w:szCs w:val="21"/>
          <w:highlight w:val="none"/>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项目安全管理人员代表</w:t>
      </w:r>
      <w:r/>
    </w:p>
    <w:p>
      <w:pPr>
        <w:ind w:firstLine="420"/>
        <w:spacing w:line="360" w:lineRule="auto"/>
        <w:shd w:val="clear" w:color="auto" w:fill="ffffff"/>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为保证项目安全管理与明确安全责任，现场管理人员明确如下：</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1．甲方人员（现场管理工程师）： </w:t>
      </w:r>
      <w:r/>
    </w:p>
    <w:p>
      <w:pPr>
        <w:ind w:firstLine="420"/>
        <w:spacing w:line="360" w:lineRule="auto"/>
        <w:shd w:val="clear" w:color="auto" w:fill="ffffff"/>
        <w:widowControl/>
        <w:rPr>
          <w:rFonts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2．乙方人员（项目经理）： </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p>
    <w:p>
      <w:pPr>
        <w:ind w:firstLine="422"/>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五、甲方安全责任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1．甲方（或委托监理单位）有权检查乙方项目实施的安全及文明现场管理工作。</w:t>
      </w:r>
      <w:r/>
    </w:p>
    <w:p>
      <w:pPr>
        <w:ind w:firstLine="436"/>
        <w:spacing w:line="360" w:lineRule="auto"/>
        <w:shd w:val="clear" w:color="auto" w:fill="ffffff"/>
        <w:widowControl/>
        <w:rPr>
          <w:rFonts w:ascii="宋体" w:hAnsi="宋体" w:eastAsia="宋体" w:cs="宋体"/>
          <w:color w:val="000000" w:themeColor="text1"/>
          <w:spacing w:val="4"/>
          <w:sz w:val="21"/>
          <w:szCs w:val="21"/>
          <w:highlight w:val="none"/>
          <w14:textFill>
            <w14:solidFill>
              <w14:schemeClr w14:val="tx1"/>
            </w14:solidFill>
          </w14:textFill>
        </w:rPr>
      </w:pPr>
      <w:r>
        <w:rPr>
          <w:rFonts w:ascii="宋体" w:hAnsi="宋体" w:eastAsia="宋体" w:cs="宋体"/>
          <w:color w:val="000000" w:themeColor="text1"/>
          <w:spacing w:val="4"/>
          <w:sz w:val="21"/>
          <w:szCs w:val="21"/>
          <w:highlight w:val="none"/>
          <w14:textFill>
            <w14:solidFill>
              <w14:schemeClr w14:val="tx1"/>
            </w14:solidFill>
          </w14:textFill>
        </w:rPr>
        <w:t xml:space="preserve">2</w:t>
      </w:r>
      <w:r>
        <w:rPr>
          <w:rFonts w:hint="eastAsia" w:ascii="宋体" w:hAnsi="宋体" w:eastAsia="宋体" w:cs="宋体"/>
          <w:color w:val="000000" w:themeColor="text1"/>
          <w:spacing w:val="4"/>
          <w:sz w:val="21"/>
          <w:szCs w:val="21"/>
          <w:highlight w:val="none"/>
          <w14:textFill>
            <w14:solidFill>
              <w14:schemeClr w14:val="tx1"/>
            </w14:solidFill>
          </w14:textFill>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ascii="宋体" w:hAnsi="宋体" w:eastAsia="宋体" w:cs="宋体"/>
          <w:color w:val="000000" w:themeColor="text1"/>
          <w:spacing w:val="4"/>
          <w:sz w:val="21"/>
          <w:szCs w:val="21"/>
          <w:highlight w:val="none"/>
          <w14:textFill>
            <w14:solidFill>
              <w14:schemeClr w14:val="tx1"/>
            </w14:solidFill>
          </w14:textFill>
        </w:rPr>
      </w:pPr>
      <w:r>
        <w:rPr>
          <w:rFonts w:ascii="宋体" w:hAnsi="宋体" w:eastAsia="宋体" w:cs="宋体"/>
          <w:color w:val="000000" w:themeColor="text1"/>
          <w:spacing w:val="4"/>
          <w:sz w:val="21"/>
          <w:szCs w:val="21"/>
          <w:highlight w:val="none"/>
          <w14:textFill>
            <w14:solidFill>
              <w14:schemeClr w14:val="tx1"/>
            </w14:solidFill>
          </w14:textFill>
        </w:rPr>
        <w:t xml:space="preserve">3.甲方有权对乙方安全管理进行督促检查，对于查出的隐患，甲方应要求乙方限期整改。</w:t>
      </w:r>
      <w:r/>
    </w:p>
    <w:p>
      <w:pPr>
        <w:ind w:firstLine="422"/>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六</w:t>
      </w:r>
      <w:r>
        <w:rPr>
          <w:rFonts w:hint="eastAsia" w:ascii="宋体" w:hAnsi="宋体" w:eastAsia="宋体" w:cs="宋体"/>
          <w:b/>
          <w:bCs/>
          <w:color w:val="000000" w:themeColor="text1"/>
          <w:sz w:val="21"/>
          <w:szCs w:val="21"/>
          <w:highlight w:val="none"/>
          <w14:textFill>
            <w14:solidFill>
              <w14:schemeClr w14:val="tx1"/>
            </w14:solidFill>
          </w14:textFill>
        </w:rPr>
        <w:t xml:space="preserve">、乙方安全责任</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乙方应切实履行以下安全保障义务责任：</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1．乙方所提供的项目要求的相关资质证明材料应真实、合法、有效。</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8．乙方必须接受甲方（或委托的第三方单位）的监督、检查，对甲方提出的安全整改意见必须及时整改。乙方有保存相关资料，配合甲方进行检查 </w:t>
      </w:r>
      <w:r>
        <w:rPr>
          <w:rFonts w:hint="eastAsia" w:ascii="宋体" w:hAnsi="宋体" w:eastAsia="宋体" w:cs="宋体"/>
          <w:color w:val="000000" w:themeColor="text1"/>
          <w:sz w:val="21"/>
          <w:szCs w:val="21"/>
          <w:highlight w:val="none"/>
          <w14:textFill>
            <w14:solidFill>
              <w14:schemeClr w14:val="tx1"/>
            </w14:solidFill>
          </w14:textFill>
        </w:rPr>
        <w:t xml:space="preserve">并提供相关报告的义务。</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10．乙方</w:t>
      </w:r>
      <w:r>
        <w:rPr>
          <w:rFonts w:hint="eastAsia" w:ascii="宋体" w:hAnsi="宋体" w:eastAsia="宋体" w:cs="宋体"/>
          <w:color w:val="000000" w:themeColor="text1"/>
          <w:sz w:val="21"/>
          <w:szCs w:val="21"/>
          <w:highlight w:val="none"/>
          <w14:textFill>
            <w14:solidFill>
              <w14:schemeClr w14:val="tx1"/>
            </w14:solidFill>
          </w14:textFill>
        </w:rPr>
        <w:t xml:space="preserve">涉及特殊作业（如动火、有限空间等）应执行审批制度，并按照甲方相关规定在安全监管平台备案，明确作业时间、地点、管理人员、作业内容、现场图片。</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11．乙方在作业过程中，存在与其他</w:t>
      </w:r>
      <w:r>
        <w:rPr>
          <w:rFonts w:hint="eastAsia" w:ascii="宋体" w:hAnsi="宋体" w:eastAsia="宋体" w:cs="宋体"/>
          <w:color w:val="000000" w:themeColor="text1"/>
          <w:sz w:val="21"/>
          <w:szCs w:val="21"/>
          <w:highlight w:val="none"/>
          <w14:textFill>
            <w14:solidFill>
              <w14:schemeClr w14:val="tx1"/>
            </w14:solidFill>
          </w14:textFill>
        </w:rPr>
        <w:t xml:space="preserve">项目承包单位在同一场所作业时，应与其他项目承包单位之间应签订安全生产管理协议，明确各方职责和安全措施，指定专人进行安全检查与协调，并及时向甲方报告作业情况。</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rPr>
          <w:rFonts w:hint="eastAsia" w:ascii="宋体" w:hAnsi="宋体" w:eastAsia="宋体" w:cs="宋体"/>
          <w:color w:val="000000" w:themeColor="text1"/>
          <w:sz w:val="21"/>
          <w:szCs w:val="21"/>
          <w:highlight w:val="none"/>
          <w14:textFill>
            <w14:solidFill>
              <w14:schemeClr w14:val="tx1"/>
            </w14:solidFill>
          </w14:textFill>
        </w:rPr>
        <w:t xml:space="preserve">3</w:t>
      </w:r>
      <w:r>
        <w:rPr>
          <w:rFonts w:ascii="宋体" w:hAnsi="宋体" w:eastAsia="宋体" w:cs="宋体"/>
          <w:color w:val="000000" w:themeColor="text1"/>
          <w:sz w:val="21"/>
          <w:szCs w:val="21"/>
          <w:highlight w:val="none"/>
          <w14:textFill>
            <w14:solidFill>
              <w14:schemeClr w14:val="tx1"/>
            </w14:solidFill>
          </w14:textFill>
        </w:rPr>
        <w:t xml:space="preserve">.乙方应严格遵循、执行</w:t>
      </w:r>
      <w:r>
        <w:rPr>
          <w:rFonts w:hint="eastAsia" w:ascii="宋体" w:hAnsi="宋体" w:eastAsia="宋体" w:cs="宋体"/>
          <w:bCs/>
          <w:color w:val="000000" w:themeColor="text1"/>
          <w:sz w:val="21"/>
          <w:szCs w:val="21"/>
          <w:highlight w:val="none"/>
          <w14:textFill>
            <w14:solidFill>
              <w14:schemeClr w14:val="tx1"/>
            </w14:solidFill>
          </w14:textFill>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七、项目有关责任</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2．为确保社会稳定，乙方负有经济赔偿兜底责任。</w:t>
      </w:r>
      <w:r/>
    </w:p>
    <w:p>
      <w:pPr>
        <w:ind w:firstLine="422"/>
        <w:spacing w:line="360" w:lineRule="auto"/>
        <w:shd w:val="clear" w:color="auto" w:fill="ffffff"/>
        <w:widowControl/>
        <w:rPr>
          <w:rFonts w:ascii="宋体" w:hAnsi="宋体" w:eastAsia="宋体" w:cs="宋体"/>
          <w:b/>
          <w:color w:val="000000" w:themeColor="text1"/>
          <w:spacing w:val="6"/>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w:t>
      </w:r>
      <w:r>
        <w:rPr>
          <w:rFonts w:hint="eastAsia" w:ascii="宋体" w:hAnsi="宋体" w:eastAsia="宋体" w:cs="宋体"/>
          <w:b/>
          <w:color w:val="000000" w:themeColor="text1"/>
          <w:spacing w:val="6"/>
          <w:sz w:val="21"/>
          <w:szCs w:val="21"/>
          <w:highlight w:val="none"/>
          <w14:textFill>
            <w14:solidFill>
              <w14:schemeClr w14:val="tx1"/>
            </w14:solidFill>
          </w14:textFill>
        </w:rPr>
        <w:t xml:space="preserve">、甲乙双方必须严格执行本协议，本协议效力独立于主合同。</w:t>
      </w:r>
      <w:r>
        <w:rPr>
          <w:rFonts w:hint="eastAsia" w:ascii="宋体" w:hAnsi="宋体" w:eastAsia="宋体" w:cs="宋体"/>
          <w:b/>
          <w:color w:val="000000" w:themeColor="text1"/>
          <w:sz w:val="21"/>
          <w:szCs w:val="21"/>
          <w:highlight w:val="none"/>
          <w14:textFill>
            <w14:solidFill>
              <w14:schemeClr w14:val="tx1"/>
            </w14:solidFill>
          </w14:textFill>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asciiTheme="minorEastAsia" w:hAnsiTheme="minorEastAsia"/>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九、</w:t>
      </w:r>
      <w:r>
        <w:rPr>
          <w:rFonts w:hint="eastAsia" w:ascii="宋体" w:hAnsi="宋体" w:eastAsia="宋体" w:cs="宋体"/>
          <w:bCs/>
          <w:color w:val="000000" w:themeColor="text1"/>
          <w:sz w:val="21"/>
          <w:szCs w:val="21"/>
          <w:highlight w:val="none"/>
          <w14:textFill>
            <w14:solidFill>
              <w14:schemeClr w14:val="tx1"/>
            </w14:solidFill>
          </w14:textFill>
        </w:rPr>
        <w:t xml:space="preserve">本协议包括附件《承包单位安全生产主体责任清单（通用）》</w:t>
      </w:r>
      <w:r>
        <w:rPr>
          <w:rFonts w:hint="eastAsia" w:ascii="宋体" w:hAnsi="宋体" w:eastAsia="宋体" w:cs="宋体"/>
          <w:color w:val="000000" w:themeColor="text1"/>
          <w:sz w:val="21"/>
          <w:szCs w:val="21"/>
          <w:highlight w:val="none"/>
          <w14:textFill>
            <w14:solidFill>
              <w14:schemeClr w14:val="tx1"/>
            </w14:solidFill>
          </w14:textFill>
        </w:rPr>
        <w:t xml:space="preserve">本协议（含附件</w:t>
      </w:r>
      <w:r>
        <w:rPr>
          <w:rFonts w:ascii="宋体" w:hAnsi="宋体" w:eastAsia="宋体" w:cs="宋体"/>
          <w:color w:val="000000" w:themeColor="text1"/>
          <w:sz w:val="21"/>
          <w:szCs w:val="21"/>
          <w:highlight w:val="none"/>
          <w14:textFill>
            <w14:solidFill>
              <w14:schemeClr w14:val="tx1"/>
            </w14:solidFill>
          </w14:textFill>
        </w:rPr>
        <w:t xml:space="preserve">1）经双方法定代表人签字并加盖公章后生效。</w:t>
      </w:r>
      <w:r/>
    </w:p>
    <w:p>
      <w:pPr>
        <w:pStyle w:val="1146"/>
        <w:ind w:firstLine="480"/>
        <w:jc w:val="both"/>
        <w:spacing w:line="324" w:lineRule="auto"/>
        <w:shd w:val="clear" w:color="auto" w:fill="ffffff"/>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r>
      <w:r/>
    </w:p>
    <w:p>
      <w:pPr>
        <w:ind w:firstLine="482"/>
        <w:shd w:val="clear" w:color="auto" w:fill="ffffff"/>
        <w:widowControl/>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甲方：（签章）</w:t>
      </w:r>
      <w:r>
        <w:rPr>
          <w:rFonts w:ascii="宋体" w:hAnsi="宋体" w:eastAsia="宋体" w:cs="宋体"/>
          <w:bCs/>
          <w:color w:val="000000" w:themeColor="text1"/>
          <w:sz w:val="21"/>
          <w:szCs w:val="21"/>
          <w:highlight w:val="non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乙方：（签章）</w:t>
      </w:r>
      <w:r/>
    </w:p>
    <w:p>
      <w:pPr>
        <w:ind w:firstLine="480"/>
        <w:spacing w:line="360" w:lineRule="auto"/>
        <w:shd w:val="clear" w:color="auto" w:fill="ffffff"/>
        <w:widowControl/>
        <w:rPr>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rPr>
          <w:rFonts w:ascii="宋体" w:hAnsi="宋体" w:eastAsia="宋体" w:cs="宋体"/>
          <w:color w:val="000000" w:themeColor="text1"/>
          <w:sz w:val="21"/>
          <w:szCs w:val="21"/>
          <w:highlight w:val="none"/>
          <w14:textFill>
            <w14:solidFill>
              <w14:schemeClr w14:val="tx1"/>
            </w14:solidFill>
          </w14:textFill>
        </w:rPr>
        <w:t xml:space="preserve">                           </w:t>
      </w:r>
      <w:r>
        <w:rPr>
          <w:rFonts w:ascii="宋体" w:hAnsi="宋体" w:eastAsia="宋体" w:cs="宋体"/>
          <w:bCs/>
          <w:color w:val="000000" w:themeColor="text1"/>
          <w:sz w:val="21"/>
          <w:szCs w:val="21"/>
          <w:highlight w:val="none"/>
          <w14:textFill>
            <w14:solidFill>
              <w14:schemeClr w14:val="tx1"/>
            </w14:solidFill>
          </w14:textFill>
        </w:rPr>
        <w:t xml:space="preserve">  法定代表人：</w:t>
      </w:r>
      <w:r/>
    </w:p>
    <w:p>
      <w:pPr>
        <w:jc w:val="left"/>
        <w:widowControl/>
        <w:rPr>
          <w:rFonts w:cs="宋体" w:asciiTheme="minorEastAsia" w:hAnsiTheme="minorEastAsia"/>
          <w:color w:val="000000" w:themeColor="text1"/>
          <w:sz w:val="21"/>
          <w:szCs w:val="21"/>
          <w:highlight w:val="none"/>
          <w14:textFill>
            <w14:solidFill>
              <w14:schemeClr w14:val="tx1"/>
            </w14:solidFill>
          </w14:textFill>
        </w:rPr>
        <w:sectPr>
          <w:footnotePr/>
          <w:endnotePr/>
          <w:type w:val="nextPage"/>
          <w:pgSz w:w="11907" w:h="16840" w:orient="portrait"/>
          <w:pgMar w:top="1418" w:right="1418" w:bottom="1418" w:left="1418" w:header="851" w:footer="992" w:gutter="0"/>
          <w:cols w:num="1" w:sep="0" w:space="720" w:equalWidth="1"/>
          <w:docGrid w:linePitch="360"/>
        </w:sectPr>
      </w:pPr>
      <w:r>
        <w:rPr>
          <w:rFonts w:cs="宋体" w:asciiTheme="minorEastAsia" w:hAnsiTheme="minorEastAsia"/>
          <w:color w:val="000000" w:themeColor="text1"/>
          <w:sz w:val="21"/>
          <w:szCs w:val="21"/>
          <w:highlight w:val="none"/>
          <w14:textFill>
            <w14:solidFill>
              <w14:schemeClr w14:val="tx1"/>
            </w14:solidFill>
          </w14:textFill>
        </w:rPr>
      </w:r>
      <w:r/>
    </w:p>
    <w:p>
      <w:pPr>
        <w:ind w:firstLine="843"/>
        <w:spacing w:line="620" w:lineRule="exact"/>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项目安全协议书附件：承包单位安全生产主体责任清单（通用）</w:t>
      </w:r>
      <w:r/>
    </w:p>
    <w:p>
      <w:pPr>
        <w:ind w:firstLine="560"/>
        <w:jc w:val="center"/>
        <w:spacing w:line="62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8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注：本主体责任清单项下的“生产”为广义，包括且不限于责任主体的各类生产、经营、建设、施工、作业等活动。</w:t>
      </w:r>
      <w:r/>
    </w:p>
    <w:p>
      <w:pPr>
        <w:ind w:firstLine="560"/>
        <w:spacing w:line="460" w:lineRule="exact"/>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tbl>
      <w:tblPr>
        <w:tblStyle w:val="1126"/>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58"/>
        <w:gridCol w:w="328"/>
        <w:gridCol w:w="932"/>
        <w:gridCol w:w="6494"/>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w:t>
            </w:r>
            <w:r>
              <w:rPr>
                <w:rFonts w:ascii="宋体" w:hAnsi="宋体" w:eastAsia="宋体" w:cs="宋体"/>
                <w:color w:val="000000" w:themeColor="text1"/>
                <w:sz w:val="21"/>
                <w:szCs w:val="21"/>
                <w:highlight w:val="none"/>
                <w14:textFill>
                  <w14:solidFill>
                    <w14:schemeClr w14:val="tx1"/>
                  </w14:solidFill>
                </w14:textFill>
              </w:rPr>
              <w:t xml:space="preserve">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3110"/>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承包单位应建立全员参与、全岗位覆盖、全过程衔接的隐患排查机制和清单管理、</w:t>
            </w:r>
            <w:r>
              <w:rPr>
                <w:rFonts w:hint="eastAsia" w:ascii="宋体" w:hAnsi="宋体" w:eastAsia="宋体" w:cs="宋体"/>
                <w:color w:val="000000" w:themeColor="text1"/>
                <w:sz w:val="21"/>
                <w:szCs w:val="21"/>
                <w:highlight w:val="none"/>
                <w14:textFill>
                  <w14:solidFill>
                    <w14:schemeClr w14:val="tx1"/>
                  </w14:solidFill>
                </w14:textFill>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ascii="宋体" w:hAnsi="宋体" w:eastAsia="宋体" w:cs="宋体"/>
                <w:color w:val="000000" w:themeColor="text1"/>
                <w:sz w:val="21"/>
                <w:szCs w:val="21"/>
                <w:highlight w:val="none"/>
                <w14:textFill>
                  <w14:solidFill>
                    <w14:schemeClr w14:val="tx1"/>
                  </w14:solidFill>
                </w14:textFill>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承包单位应建立安全值班值守制度，确保项目安全值班值守。按甲方指令做好特殊时期（包括且不限于重大活动、特殊气象条件等）全天候安全相关值班值守。</w:t>
            </w:r>
            <w:r/>
          </w:p>
        </w:tc>
      </w:tr>
    </w:tbl>
    <w:p>
      <w:pPr>
        <w:ind w:firstLine="214"/>
        <w:jc w:val="lef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214"/>
        <w:jc w:val="lef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r>
      <w:r/>
    </w:p>
    <w:p>
      <w:pPr>
        <w:ind w:firstLine="214"/>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rFonts w:ascii="仿宋" w:hAnsi="仿宋" w:eastAsia="仿宋" w:cs="仿宋"/>
          <w:color w:val="000000" w:themeColor="text1"/>
          <w:highlight w:val="none"/>
          <w14:textFill>
            <w14:solidFill>
              <w14:schemeClr w14:val="tx1"/>
            </w14:solidFill>
          </w14:textFill>
        </w:rPr>
      </w:pPr>
      <w:r>
        <w:rPr>
          <w:rFonts w:ascii="仿宋" w:hAnsi="仿宋" w:eastAsia="仿宋" w:cs="仿宋"/>
          <w:color w:val="000000" w:themeColor="text1"/>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jc w:val="center"/>
        <w:rPr>
          <w:rFonts w:ascii="宋体" w:hAnsi="宋体" w:eastAsia="宋体" w:cs="宋体"/>
          <w:color w:val="000000" w:themeColor="text1"/>
          <w:sz w:val="52"/>
          <w:highlight w:val="none"/>
          <w14:textFill>
            <w14:solidFill>
              <w14:schemeClr w14:val="tx1"/>
            </w14:solidFill>
          </w14:textFill>
        </w:rPr>
      </w:pPr>
      <w:r>
        <w:rPr>
          <w:rFonts w:hint="eastAsia" w:ascii="宋体" w:hAnsi="宋体" w:eastAsia="宋体" w:cs="宋体"/>
          <w:color w:val="000000" w:themeColor="text1"/>
          <w:sz w:val="52"/>
          <w:highlight w:val="none"/>
          <w14:textFill>
            <w14:solidFill>
              <w14:schemeClr w14:val="tx1"/>
            </w14:solidFill>
          </w14:textFill>
        </w:rPr>
        <w:t xml:space="preserve">第六章评分标准</w:t>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pStyle w:val="1157"/>
        <w:rPr>
          <w:rFonts w:ascii="宋体" w:hAnsi="宋体" w:eastAsia="宋体" w:cs="宋体"/>
          <w:color w:val="000000" w:themeColor="text1"/>
          <w:sz w:val="52"/>
          <w:highlight w:val="none"/>
          <w14:textFill>
            <w14:solidFill>
              <w14:schemeClr w14:val="tx1"/>
            </w14:solidFill>
          </w14:textFill>
        </w:rPr>
      </w:pPr>
      <w:r>
        <w:rPr>
          <w:rFonts w:ascii="宋体" w:hAnsi="宋体" w:eastAsia="宋体" w:cs="宋体"/>
          <w:color w:val="000000" w:themeColor="text1"/>
          <w:sz w:val="52"/>
          <w:highlight w:val="none"/>
          <w14:textFill>
            <w14:solidFill>
              <w14:schemeClr w14:val="tx1"/>
            </w14:solidFill>
          </w14:textFill>
        </w:rPr>
      </w:r>
      <w:r/>
    </w:p>
    <w:p>
      <w:pPr>
        <w:ind w:firstLine="0"/>
        <w:spacing w:line="240" w:lineRule="auto"/>
        <w:rPr>
          <w:rFonts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ind w:firstLine="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（一）评审方法：</w:t>
      </w:r>
      <w:r/>
    </w:p>
    <w:p>
      <w:pPr>
        <w:ind w:right="-312"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1、经磋商确定最终采购需求和提交最后报价的磋商供应商后，由磋商小组采用综合评分法对提交最后报价的磋商供应商的响应文件和最后报价进行综合评分。</w:t>
      </w:r>
      <w:r/>
    </w:p>
    <w:p>
      <w:pPr>
        <w:ind w:right="-312"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2、综合评分法，即指响应文件满足采购文件全部实质性要求，且按照评审因素的量化指标评审得分最高的供应商为排名第一的成交候选人的评审方法。</w:t>
      </w:r>
      <w:r/>
    </w:p>
    <w:p>
      <w:pPr>
        <w:ind w:right="-312"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3、评审小组各成员独立对每个进入打分程序的有效磋商供应商的响应文件技术和资质部分以打分的形式进行评审和评价。</w:t>
      </w:r>
      <w:r/>
    </w:p>
    <w:p>
      <w:pPr>
        <w:ind w:right="-312"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p>
    <w:p>
      <w:pPr>
        <w:ind w:right="-312"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5、评审小组根据采购人的授权，按照成交候选人的顺序在成交候选人中直接确定成交供应商。</w:t>
      </w:r>
      <w:r/>
    </w:p>
    <w:p>
      <w:pPr>
        <w:ind w:firstLine="482"/>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（二）评分标准：</w:t>
      </w:r>
      <w:r/>
    </w:p>
    <w:p>
      <w:pPr>
        <w:ind w:right="-312" w:firstLine="482"/>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一、价格分：</w:t>
      </w:r>
      <w:r>
        <w:rPr>
          <w:rFonts w:ascii="宋体" w:hAnsi="宋体" w:eastAsia="宋体" w:cs="宋体"/>
          <w:b/>
          <w:color w:val="000000" w:themeColor="text1"/>
          <w:sz w:val="21"/>
          <w:szCs w:val="21"/>
          <w:highlight w:val="none"/>
          <w14:textFill>
            <w14:solidFill>
              <w14:schemeClr w14:val="tx1"/>
            </w14:solidFill>
          </w14:textFill>
        </w:rPr>
        <w:t xml:space="preserve">15</w:t>
      </w:r>
      <w:r>
        <w:rPr>
          <w:rFonts w:hint="eastAsia" w:ascii="宋体" w:hAnsi="宋体" w:eastAsia="宋体" w:cs="宋体"/>
          <w:b/>
          <w:color w:val="000000" w:themeColor="text1"/>
          <w:sz w:val="21"/>
          <w:szCs w:val="21"/>
          <w:highlight w:val="none"/>
          <w14:textFill>
            <w14:solidFill>
              <w14:schemeClr w14:val="tx1"/>
            </w14:solidFill>
          </w14:textFill>
        </w:rPr>
        <w:t xml:space="preserve">分</w:t>
      </w:r>
      <w:r/>
    </w:p>
    <w:p>
      <w:pPr>
        <w:ind w:right="-312" w:firstLine="422"/>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t xml:space="preserve">1.1价格分测算：</w:t>
      </w:r>
      <w:r/>
    </w:p>
    <w:p>
      <w:pPr>
        <w:ind w:right="-312" w:firstLine="42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第一步：投标报价低于或等于财政预算价格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的，为有效投标报价。超财政预算</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最高限价</w:t>
      </w:r>
      <w:r>
        <w:rPr>
          <w:rFonts w:hint="eastAsia" w:ascii="宋体" w:hAnsi="宋体" w:eastAsia="宋体" w:cs="宋体"/>
          <w:color w:val="000000" w:themeColor="text1"/>
          <w:sz w:val="21"/>
          <w:szCs w:val="21"/>
          <w:highlight w:val="none"/>
          <w14:textFill>
            <w14:solidFill>
              <w14:schemeClr w14:val="tx1"/>
            </w14:solidFill>
          </w14:textFill>
        </w:rPr>
        <w:t xml:space="preserve">的投标报价为无效投标报价。无效投标报价的磋商响应文件不进行评审，也不得标。</w:t>
      </w:r>
      <w:r/>
    </w:p>
    <w:p>
      <w:pPr>
        <w:ind w:firstLine="454"/>
        <w:spacing w:line="360" w:lineRule="auto"/>
        <w:tabs>
          <w:tab w:val="left" w:pos="1050" w:leader="none"/>
        </w:tabs>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第二步：在所有有效投标报价中满足采购文件要求，且投标总价格最低的投标报价为评标基准价，其价格分为</w:t>
      </w:r>
      <w:r>
        <w:rPr>
          <w:rFonts w:ascii="宋体" w:hAnsi="宋体" w:eastAsia="宋体" w:cs="宋体"/>
          <w:color w:val="000000" w:themeColor="text1"/>
          <w:sz w:val="21"/>
          <w:szCs w:val="21"/>
          <w:highlight w:val="none"/>
          <w14:textFill>
            <w14:solidFill>
              <w14:schemeClr w14:val="tx1"/>
            </w14:solidFill>
          </w14:textFill>
        </w:rPr>
        <w:t xml:space="preserve">15</w:t>
      </w:r>
      <w:r>
        <w:rPr>
          <w:rFonts w:hint="eastAsia" w:ascii="宋体" w:hAnsi="宋体" w:eastAsia="宋体" w:cs="宋体"/>
          <w:color w:val="000000" w:themeColor="text1"/>
          <w:sz w:val="21"/>
          <w:szCs w:val="21"/>
          <w:highlight w:val="none"/>
          <w14:textFill>
            <w14:solidFill>
              <w14:schemeClr w14:val="tx1"/>
            </w14:solidFill>
          </w14:textFill>
        </w:rPr>
        <w:t xml:space="preserve">分，其他磋商供应商的价格分按照下列公式计算（计算结果四舍五入保留两位小数）</w:t>
      </w:r>
      <w:r/>
    </w:p>
    <w:p>
      <w:pPr>
        <w:ind w:right="-312"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价格分＝（评标基准价</w:t>
      </w:r>
      <w:r>
        <w:rPr>
          <w:rFonts w:ascii="宋体" w:hAnsi="宋体" w:eastAsia="宋体" w:cs="宋体"/>
          <w:color w:val="000000" w:themeColor="text1"/>
          <w:sz w:val="21"/>
          <w:szCs w:val="21"/>
          <w:highlight w:val="none"/>
          <w14:textFill>
            <w14:solidFill>
              <w14:schemeClr w14:val="tx1"/>
            </w14:solidFill>
          </w14:textFill>
        </w:rPr>
        <w:t xml:space="preserve">/投标报价）×15</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100</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根据《关于推动解决政府采购异常低价问题的通知》（财库〔</w:t>
      </w:r>
      <w:r>
        <w:rPr>
          <w:rFonts w:ascii="宋体" w:hAnsi="宋体" w:eastAsia="宋体" w:cs="宋体"/>
          <w:b/>
          <w:bCs/>
          <w:color w:val="000000" w:themeColor="text1"/>
          <w:sz w:val="21"/>
          <w:szCs w:val="21"/>
          <w:highlight w:val="none"/>
          <w14:textFill>
            <w14:solidFill>
              <w14:schemeClr w14:val="tx1"/>
            </w14:solidFill>
          </w14:textFill>
        </w:rPr>
        <w:t xml:space="preserve">2026〕2号）文件要求，评审过程中出现下列情形之一的，评审委员会应当启动异常低价投标（响应）审查程序：</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3、投标（响应）报价低于采购项目最高限价45%的，即投标（响应）报价&lt;采购项目最高限价×45%；</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评审委员会启动异常低价投标（响应）审查后，属于前述第</w:t>
      </w:r>
      <w:r>
        <w:rPr>
          <w:rFonts w:ascii="宋体" w:hAnsi="宋体" w:eastAsia="宋体" w:cs="宋体"/>
          <w:b/>
          <w:bCs/>
          <w:color w:val="000000" w:themeColor="text1"/>
          <w:sz w:val="21"/>
          <w:szCs w:val="21"/>
          <w:highlight w:val="none"/>
          <w14:textFill>
            <w14:solidFill>
              <w14:schemeClr w14:val="tx1"/>
            </w14:solidFill>
          </w14:textFill>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400" w:lineRule="exact"/>
        <w:widowControl/>
        <w:rPr>
          <w:rFonts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（二）服务方案：</w:t>
      </w:r>
      <w:r>
        <w:rPr>
          <w:rFonts w:ascii="宋体" w:hAnsi="宋体" w:eastAsia="宋体" w:cs="宋体"/>
          <w:b/>
          <w:color w:val="000000" w:themeColor="text1"/>
          <w:sz w:val="21"/>
          <w:szCs w:val="21"/>
          <w:highlight w:val="none"/>
          <w14:textFill>
            <w14:solidFill>
              <w14:schemeClr w14:val="tx1"/>
            </w14:solidFill>
          </w14:textFill>
        </w:rPr>
        <w:t xml:space="preserve"> 12分</w:t>
      </w:r>
      <w:r/>
    </w:p>
    <w:p>
      <w:pPr>
        <w:pStyle w:val="1219"/>
        <w:ind w:firstLine="415"/>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t xml:space="preserve">1、整体服务方案及安全管理方案（4</w:t>
      </w:r>
      <w:r>
        <w:rPr>
          <w:rFonts w:hint="eastAsia" w:cs="宋体"/>
          <w:color w:val="000000" w:themeColor="text1"/>
          <w:sz w:val="21"/>
          <w:szCs w:val="21"/>
          <w:highlight w:val="none"/>
          <w14:textFill>
            <w14:solidFill>
              <w14:schemeClr w14:val="tx1"/>
            </w14:solidFill>
          </w14:textFill>
        </w:rPr>
        <w:t xml:space="preserve">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管理区域内的整体服务方案（需包括完整的抑尘工作服务方案）；投标人应根据安全生产法，结合企业自身特点，如何做好安全生产工作，坚持安全发展，坚持安全第一、预防为主、综合治理的方针，强化和落实生产经营单位的主体责任。</w:t>
      </w:r>
      <w:r>
        <w:rPr>
          <w:rFonts w:cs="宋体"/>
          <w:color w:val="000000" w:themeColor="text1"/>
          <w:sz w:val="21"/>
          <w:szCs w:val="21"/>
          <w:highlight w:val="none"/>
          <w14:textFill>
            <w14:solidFill>
              <w14:schemeClr w14:val="tx1"/>
            </w14:solidFill>
          </w14:textFill>
        </w:rPr>
        <w:t xml:space="preserve"> </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方案内容完整具体，工作安排科学合理，可行性高的得</w:t>
      </w:r>
      <w:r>
        <w:rPr>
          <w:rFonts w:cs="宋体"/>
          <w:color w:val="000000" w:themeColor="text1"/>
          <w:sz w:val="21"/>
          <w:szCs w:val="21"/>
          <w:highlight w:val="none"/>
          <w14:textFill>
            <w14:solidFill>
              <w14:schemeClr w14:val="tx1"/>
            </w14:solidFill>
          </w14:textFill>
        </w:rPr>
        <w:t xml:space="preserve">4</w:t>
      </w:r>
      <w:r>
        <w:rPr>
          <w:rFonts w:hint="eastAsia" w:cs="宋体"/>
          <w:color w:val="000000" w:themeColor="text1"/>
          <w:sz w:val="21"/>
          <w:szCs w:val="21"/>
          <w:highlight w:val="none"/>
          <w14:textFill>
            <w14:solidFill>
              <w14:schemeClr w14:val="tx1"/>
            </w14:solidFill>
          </w14:textFill>
        </w:rPr>
        <w:t xml:space="preserve">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方案内容较为完整具体，工作安排较为科学合理，可行性较高的得</w:t>
      </w:r>
      <w:r>
        <w:rPr>
          <w:rFonts w:cs="宋体"/>
          <w:color w:val="000000" w:themeColor="text1"/>
          <w:sz w:val="21"/>
          <w:szCs w:val="21"/>
          <w:highlight w:val="none"/>
          <w14:textFill>
            <w14:solidFill>
              <w14:schemeClr w14:val="tx1"/>
            </w14:solidFill>
          </w14:textFill>
        </w:rPr>
        <w:t xml:space="preserve">3</w:t>
      </w:r>
      <w:r>
        <w:rPr>
          <w:rFonts w:hint="eastAsia" w:cs="宋体"/>
          <w:color w:val="000000" w:themeColor="text1"/>
          <w:sz w:val="21"/>
          <w:szCs w:val="21"/>
          <w:highlight w:val="none"/>
          <w14:textFill>
            <w14:solidFill>
              <w14:schemeClr w14:val="tx1"/>
            </w14:solidFill>
          </w14:textFill>
        </w:rPr>
        <w:t xml:space="preserve">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方案内容不够完整具体，工作安排不够科学合理，可行性较低的得</w:t>
      </w:r>
      <w:r>
        <w:rPr>
          <w:rFonts w:cs="宋体"/>
          <w:color w:val="000000" w:themeColor="text1"/>
          <w:sz w:val="21"/>
          <w:szCs w:val="21"/>
          <w:highlight w:val="none"/>
          <w14:textFill>
            <w14:solidFill>
              <w14:schemeClr w14:val="tx1"/>
            </w14:solidFill>
          </w14:textFill>
        </w:rPr>
        <w:t xml:space="preserve">2</w:t>
      </w:r>
      <w:r>
        <w:rPr>
          <w:rFonts w:hint="eastAsia" w:cs="宋体"/>
          <w:color w:val="000000" w:themeColor="text1"/>
          <w:sz w:val="21"/>
          <w:szCs w:val="21"/>
          <w:highlight w:val="none"/>
          <w14:textFill>
            <w14:solidFill>
              <w14:schemeClr w14:val="tx1"/>
            </w14:solidFill>
          </w14:textFill>
        </w:rPr>
        <w:t xml:space="preserve">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无具体内容的不得分。</w:t>
      </w:r>
      <w:r/>
    </w:p>
    <w:p>
      <w:pPr>
        <w:pStyle w:val="1219"/>
        <w:ind w:firstLine="415"/>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t xml:space="preserve">2、服务期内车辆保养时间以及司驾人员培训方案、针对服务期内如有设备损坏，无法满足招标书规定的最低设备数量要求时的管理作业方案（4</w:t>
      </w:r>
      <w:r>
        <w:rPr>
          <w:rFonts w:hint="eastAsia" w:cs="宋体"/>
          <w:color w:val="000000" w:themeColor="text1"/>
          <w:sz w:val="21"/>
          <w:szCs w:val="21"/>
          <w:highlight w:val="none"/>
          <w14:textFill>
            <w14:solidFill>
              <w14:schemeClr w14:val="tx1"/>
            </w14:solidFill>
          </w14:textFill>
        </w:rPr>
        <w:t xml:space="preserve">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方案内容完整具体，工作安排科学合理，可行性高的得</w:t>
      </w:r>
      <w:r>
        <w:rPr>
          <w:rFonts w:cs="宋体"/>
          <w:color w:val="000000" w:themeColor="text1"/>
          <w:sz w:val="21"/>
          <w:szCs w:val="21"/>
          <w:highlight w:val="none"/>
          <w14:textFill>
            <w14:solidFill>
              <w14:schemeClr w14:val="tx1"/>
            </w14:solidFill>
          </w14:textFill>
        </w:rPr>
        <w:t xml:space="preserve">4分；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方案内容较为完整具体，工作安排较为科学合理，可行性较高的得</w:t>
      </w:r>
      <w:r>
        <w:rPr>
          <w:rFonts w:cs="宋体"/>
          <w:color w:val="000000" w:themeColor="text1"/>
          <w:sz w:val="21"/>
          <w:szCs w:val="21"/>
          <w:highlight w:val="none"/>
          <w14:textFill>
            <w14:solidFill>
              <w14:schemeClr w14:val="tx1"/>
            </w14:solidFill>
          </w14:textFill>
        </w:rPr>
        <w:t xml:space="preserve">3分；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方案内容不够完整具体，工作安排不够科学合理，可行性较低的得</w:t>
      </w:r>
      <w:r>
        <w:rPr>
          <w:rFonts w:cs="宋体"/>
          <w:color w:val="000000" w:themeColor="text1"/>
          <w:sz w:val="21"/>
          <w:szCs w:val="21"/>
          <w:highlight w:val="none"/>
          <w14:textFill>
            <w14:solidFill>
              <w14:schemeClr w14:val="tx1"/>
            </w14:solidFill>
          </w14:textFill>
        </w:rPr>
        <w:t xml:space="preserve">2分；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无具体内容的不得分。</w:t>
      </w:r>
      <w:r/>
    </w:p>
    <w:p>
      <w:pPr>
        <w:pStyle w:val="1219"/>
        <w:ind w:firstLine="415"/>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t xml:space="preserve">3、应急和突击保障方案（4分）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说明：方案中应至少包含对于抑尘工作高频期以及重大活动保障期间突击保障等应对方案，以及所能提供的应急处置措施、设备、人力等。</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方案内容完整具体，工作安排科学合理，可行性高的得</w:t>
      </w:r>
      <w:r>
        <w:rPr>
          <w:rFonts w:cs="宋体"/>
          <w:color w:val="000000" w:themeColor="text1"/>
          <w:sz w:val="21"/>
          <w:szCs w:val="21"/>
          <w:highlight w:val="none"/>
          <w14:textFill>
            <w14:solidFill>
              <w14:schemeClr w14:val="tx1"/>
            </w14:solidFill>
          </w14:textFill>
        </w:rPr>
        <w:t xml:space="preserve">4分；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方案内容较为完整具体，工作安排较为科学合理，可行性较高的得</w:t>
      </w:r>
      <w:r>
        <w:rPr>
          <w:rFonts w:cs="宋体"/>
          <w:color w:val="000000" w:themeColor="text1"/>
          <w:sz w:val="21"/>
          <w:szCs w:val="21"/>
          <w:highlight w:val="none"/>
          <w14:textFill>
            <w14:solidFill>
              <w14:schemeClr w14:val="tx1"/>
            </w14:solidFill>
          </w14:textFill>
        </w:rPr>
        <w:t xml:space="preserve">3分；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方案内容不够完整具体，工作安排不够科学合理，可行性较低的得</w:t>
      </w:r>
      <w:r>
        <w:rPr>
          <w:rFonts w:cs="宋体"/>
          <w:color w:val="000000" w:themeColor="text1"/>
          <w:sz w:val="21"/>
          <w:szCs w:val="21"/>
          <w:highlight w:val="none"/>
          <w14:textFill>
            <w14:solidFill>
              <w14:schemeClr w14:val="tx1"/>
            </w14:solidFill>
          </w14:textFill>
        </w:rPr>
        <w:t xml:space="preserve">2分；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无具体内容的不得分。</w:t>
      </w:r>
      <w:r/>
    </w:p>
    <w:p>
      <w:pPr>
        <w:pStyle w:val="1219"/>
        <w:ind w:firstLine="417"/>
        <w:rPr>
          <w:rFonts w:cs="宋体"/>
          <w:b/>
          <w:color w:val="000000" w:themeColor="text1"/>
          <w:sz w:val="21"/>
          <w:szCs w:val="21"/>
          <w:highlight w:val="none"/>
          <w14:textFill>
            <w14:solidFill>
              <w14:schemeClr w14:val="tx1"/>
            </w14:solidFill>
          </w14:textFill>
        </w:rPr>
      </w:pPr>
      <w:r>
        <w:rPr>
          <w:rFonts w:hint="eastAsia" w:cs="宋体"/>
          <w:b/>
          <w:color w:val="000000" w:themeColor="text1"/>
          <w:sz w:val="21"/>
          <w:szCs w:val="21"/>
          <w:highlight w:val="none"/>
          <w14:textFill>
            <w14:solidFill>
              <w14:schemeClr w14:val="tx1"/>
            </w14:solidFill>
          </w14:textFill>
        </w:rPr>
        <w:t xml:space="preserve">（三）综合实力比较：</w:t>
      </w:r>
      <w:r>
        <w:rPr>
          <w:rFonts w:cs="宋体"/>
          <w:b/>
          <w:color w:val="000000" w:themeColor="text1"/>
          <w:sz w:val="21"/>
          <w:szCs w:val="21"/>
          <w:highlight w:val="none"/>
          <w14:textFill>
            <w14:solidFill>
              <w14:schemeClr w14:val="tx1"/>
            </w14:solidFill>
          </w14:textFill>
        </w:rPr>
        <w:t xml:space="preserve">73分</w:t>
      </w:r>
      <w:r/>
    </w:p>
    <w:p>
      <w:pPr>
        <w:pStyle w:val="1219"/>
        <w:ind w:firstLine="417"/>
        <w:rPr>
          <w:rFonts w:cs="宋体"/>
          <w:b/>
          <w:color w:val="000000" w:themeColor="text1"/>
          <w:sz w:val="21"/>
          <w:szCs w:val="21"/>
          <w:highlight w:val="none"/>
          <w14:textFill>
            <w14:solidFill>
              <w14:schemeClr w14:val="tx1"/>
            </w14:solidFill>
          </w14:textFill>
        </w:rPr>
      </w:pPr>
      <w:r>
        <w:rPr>
          <w:rFonts w:cs="宋体"/>
          <w:b/>
          <w:color w:val="000000" w:themeColor="text1"/>
          <w:sz w:val="21"/>
          <w:szCs w:val="21"/>
          <w:highlight w:val="none"/>
          <w14:textFill>
            <w14:solidFill>
              <w14:schemeClr w14:val="tx1"/>
            </w14:solidFill>
          </w14:textFill>
        </w:rPr>
        <w:t xml:space="preserve">1、拟投入项目人员配备比较（28分）</w:t>
      </w:r>
      <w:r/>
    </w:p>
    <w:p>
      <w:pPr>
        <w:pStyle w:val="1219"/>
        <w:ind w:firstLine="417"/>
        <w:rPr>
          <w:rFonts w:cs="宋体"/>
          <w:b/>
          <w:bCs/>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14:textFill>
            <w14:solidFill>
              <w14:schemeClr w14:val="tx1"/>
            </w14:solidFill>
          </w14:textFill>
        </w:rPr>
        <w:t xml:space="preserve">（</w:t>
      </w:r>
      <w:r>
        <w:rPr>
          <w:rFonts w:cs="宋体"/>
          <w:b/>
          <w:bCs/>
          <w:color w:val="000000" w:themeColor="text1"/>
          <w:sz w:val="21"/>
          <w:szCs w:val="21"/>
          <w:highlight w:val="none"/>
          <w14:textFill>
            <w14:solidFill>
              <w14:schemeClr w14:val="tx1"/>
            </w14:solidFill>
          </w14:textFill>
        </w:rPr>
        <w:t xml:space="preserve">1）项目经理类似业绩比较，本项最高16</w:t>
      </w:r>
      <w:r>
        <w:rPr>
          <w:rFonts w:hint="eastAsia" w:cs="宋体"/>
          <w:b/>
          <w:bCs/>
          <w:color w:val="000000" w:themeColor="text1"/>
          <w:sz w:val="21"/>
          <w:szCs w:val="21"/>
          <w:highlight w:val="none"/>
          <w14:textFill>
            <w14:solidFill>
              <w14:schemeClr w14:val="tx1"/>
            </w14:solidFill>
          </w14:textFill>
        </w:rPr>
        <w:t xml:space="preserve">分</w:t>
      </w:r>
      <w:r/>
    </w:p>
    <w:p>
      <w:pPr>
        <w:pStyle w:val="1219"/>
        <w:ind w:firstLine="417"/>
        <w:rPr>
          <w:rFonts w:cs="宋体"/>
          <w:b/>
          <w:bCs/>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14:textFill>
            <w14:solidFill>
              <w14:schemeClr w14:val="tx1"/>
            </w14:solidFill>
          </w14:textFill>
        </w:rPr>
        <w:t xml:space="preserve">①拟任本项目经理有过类似业绩的得</w:t>
      </w:r>
      <w:r>
        <w:rPr>
          <w:rFonts w:cs="宋体"/>
          <w:b/>
          <w:bCs/>
          <w:color w:val="000000" w:themeColor="text1"/>
          <w:sz w:val="21"/>
          <w:szCs w:val="21"/>
          <w:highlight w:val="none"/>
          <w14:textFill>
            <w14:solidFill>
              <w14:schemeClr w14:val="tx1"/>
            </w14:solidFill>
          </w14:textFill>
        </w:rPr>
        <w:t xml:space="preserve">6</w:t>
      </w:r>
      <w:r>
        <w:rPr>
          <w:rFonts w:hint="eastAsia" w:cs="宋体"/>
          <w:b/>
          <w:bCs/>
          <w:color w:val="000000" w:themeColor="text1"/>
          <w:sz w:val="21"/>
          <w:szCs w:val="21"/>
          <w:highlight w:val="none"/>
          <w14:textFill>
            <w14:solidFill>
              <w14:schemeClr w14:val="tx1"/>
            </w14:solidFill>
          </w14:textFill>
        </w:rPr>
        <w:t xml:space="preserve">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w:t>
      </w:r>
      <w:r>
        <w:rPr>
          <w:rFonts w:cs="宋体"/>
          <w:color w:val="000000" w:themeColor="text1"/>
          <w:sz w:val="21"/>
          <w:szCs w:val="21"/>
          <w:highlight w:val="none"/>
          <w14:textFill>
            <w14:solidFill>
              <w14:schemeClr w14:val="tx1"/>
            </w14:solidFill>
          </w14:textFill>
        </w:rPr>
        <w:t xml:space="preserve">&lt;1&gt;</w:t>
      </w:r>
      <w:r>
        <w:rPr>
          <w:rFonts w:hint="eastAsia" w:cs="宋体"/>
          <w:color w:val="000000" w:themeColor="text1"/>
          <w:sz w:val="21"/>
          <w:szCs w:val="21"/>
          <w:highlight w:val="none"/>
          <w14:textFill>
            <w14:solidFill>
              <w14:schemeClr w14:val="tx1"/>
            </w14:solidFill>
          </w14:textFill>
        </w:rPr>
        <w:t xml:space="preserve"> 类似业绩是指2021年1月1日（含）以后已履行验收完成的服务内容</w:t>
      </w:r>
      <w:r>
        <w:rPr>
          <w:rFonts w:cs="宋体"/>
          <w:color w:val="000000" w:themeColor="text1"/>
          <w:sz w:val="21"/>
          <w:szCs w:val="21"/>
          <w:highlight w:val="none"/>
          <w14:textFill>
            <w14:solidFill>
              <w14:schemeClr w14:val="tx1"/>
            </w14:solidFill>
          </w14:textFill>
        </w:rPr>
        <w:t xml:space="preserve">涵盖城市道路保洁或抑尘服务的合同，</w:t>
      </w:r>
      <w:r>
        <w:rPr>
          <w:rFonts w:hint="eastAsia" w:cs="宋体"/>
          <w:color w:val="000000" w:themeColor="text1"/>
          <w:sz w:val="21"/>
          <w:szCs w:val="21"/>
          <w:highlight w:val="none"/>
          <w14:textFill>
            <w14:solidFill>
              <w14:schemeClr w14:val="tx1"/>
            </w14:solidFill>
          </w14:textFill>
        </w:rPr>
        <w:t xml:space="preserve">且合同期限为一年（12个月）或一年（12个月）以上。</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&lt;2&gt;服务期限为多年但合同一年（12个月）一签的类似项目业绩仅按一项类似业绩计取。</w:t>
      </w:r>
      <w:r/>
    </w:p>
    <w:p>
      <w:pPr>
        <w:pStyle w:val="1219"/>
        <w:ind w:firstLine="415"/>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t xml:space="preserve">&lt;3&gt;投标人需同时提供有效合同扫描件、履约验收证明扫描件及该项目合同期内的至少一张发票扫描件（提供发票的开票时间须在合同期内）。</w:t>
      </w:r>
      <w:r>
        <w:rPr>
          <w:rFonts w:hint="eastAsia" w:cs="宋体"/>
          <w:color w:val="000000" w:themeColor="text1"/>
          <w:sz w:val="21"/>
          <w:szCs w:val="21"/>
          <w:highlight w:val="none"/>
          <w14:textFill>
            <w14:solidFill>
              <w14:schemeClr w14:val="tx1"/>
            </w14:solidFill>
          </w14:textFill>
        </w:rPr>
        <w:t xml:space="preserve">如项目合同中未能体现项目经理姓名的，则须由业主方出具其担任该合同项目经理的盖章证明扫描件。未提供以上有效资料或提供不完整的，该项不得分。</w:t>
      </w:r>
      <w:r/>
    </w:p>
    <w:p>
      <w:pPr>
        <w:pStyle w:val="1219"/>
        <w:ind w:firstLine="415"/>
        <w:rPr>
          <w:rFonts w:cs="宋体"/>
          <w:color w:val="000000" w:themeColor="text1"/>
          <w:sz w:val="21"/>
          <w:szCs w:val="21"/>
          <w:highlight w:val="none"/>
          <w14:textFill>
            <w14:solidFill>
              <w14:schemeClr w14:val="tx1"/>
            </w14:solidFill>
          </w14:textFill>
        </w:rPr>
      </w:pPr>
      <w:r>
        <w:rPr>
          <w:rFonts w:cs="宋体"/>
          <w:color w:val="000000" w:themeColor="text1"/>
          <w:sz w:val="21"/>
          <w:szCs w:val="21"/>
          <w:highlight w:val="none"/>
          <w14:textFill>
            <w14:solidFill>
              <w14:schemeClr w14:val="tx1"/>
            </w14:solidFill>
          </w14:textFill>
        </w:rPr>
        <w:t xml:space="preserve">&lt;</w:t>
      </w:r>
      <w:r>
        <w:rPr>
          <w:rFonts w:hint="eastAsia" w:cs="宋体"/>
          <w:color w:val="000000" w:themeColor="text1"/>
          <w:sz w:val="21"/>
          <w:szCs w:val="21"/>
          <w:highlight w:val="none"/>
          <w:lang w:val="en-US" w:eastAsia="zh-CN"/>
          <w14:textFill>
            <w14:solidFill>
              <w14:schemeClr w14:val="tx1"/>
            </w14:solidFill>
          </w14:textFill>
        </w:rPr>
        <w:t xml:space="preserve">4</w:t>
      </w:r>
      <w:r>
        <w:rPr>
          <w:rFonts w:cs="宋体"/>
          <w:color w:val="000000" w:themeColor="text1"/>
          <w:sz w:val="21"/>
          <w:szCs w:val="21"/>
          <w:highlight w:val="none"/>
          <w14:textFill>
            <w14:solidFill>
              <w14:schemeClr w14:val="tx1"/>
            </w14:solidFill>
          </w14:textFill>
        </w:rPr>
        <w:t xml:space="preserve">&gt;项目经理类似业绩与投标人类似项目业绩不重复评审得分，如出现重复，该业绩仅在“项目经理类似业绩”处评审计分。</w:t>
      </w:r>
      <w:r/>
    </w:p>
    <w:p>
      <w:pPr>
        <w:pStyle w:val="1219"/>
        <w:ind w:firstLine="417"/>
        <w:rPr>
          <w:rFonts w:cs="宋体"/>
          <w:b/>
          <w:bCs/>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14:textFill>
            <w14:solidFill>
              <w14:schemeClr w14:val="tx1"/>
            </w14:solidFill>
          </w14:textFill>
        </w:rPr>
        <w:t xml:space="preserve">②具有本科及以上学历的得</w:t>
      </w:r>
      <w:r>
        <w:rPr>
          <w:rFonts w:cs="宋体"/>
          <w:b/>
          <w:bCs/>
          <w:color w:val="000000" w:themeColor="text1"/>
          <w:sz w:val="21"/>
          <w:szCs w:val="21"/>
          <w:highlight w:val="none"/>
          <w14:textFill>
            <w14:solidFill>
              <w14:schemeClr w14:val="tx1"/>
            </w14:solidFill>
          </w14:textFill>
        </w:rPr>
        <w:t xml:space="preserve">5</w:t>
      </w:r>
      <w:r>
        <w:rPr>
          <w:rFonts w:hint="eastAsia" w:cs="宋体"/>
          <w:b/>
          <w:bCs/>
          <w:color w:val="000000" w:themeColor="text1"/>
          <w:sz w:val="21"/>
          <w:szCs w:val="21"/>
          <w:highlight w:val="none"/>
          <w14:textFill>
            <w14:solidFill>
              <w14:schemeClr w14:val="tx1"/>
            </w14:solidFill>
          </w14:textFill>
        </w:rPr>
        <w:t xml:space="preserve">分。</w:t>
      </w:r>
      <w:r>
        <w:rPr>
          <w:rFonts w:cs="宋体"/>
          <w:b/>
          <w:bCs/>
          <w:color w:val="000000" w:themeColor="text1"/>
          <w:sz w:val="21"/>
          <w:szCs w:val="21"/>
          <w:highlight w:val="none"/>
          <w14:textFill>
            <w14:solidFill>
              <w14:schemeClr w14:val="tx1"/>
            </w14:solidFill>
          </w14:textFill>
        </w:rPr>
        <w:t xml:space="preserve"> </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注：提供学历证书扫描件，否则不得分。</w:t>
      </w:r>
      <w:r/>
    </w:p>
    <w:p>
      <w:pPr>
        <w:pStyle w:val="1219"/>
        <w:ind w:firstLine="417"/>
        <w:rPr>
          <w:rFonts w:cs="宋体"/>
          <w:b/>
          <w:bCs/>
          <w:color w:val="000000" w:themeColor="text1"/>
          <w:sz w:val="21"/>
          <w:szCs w:val="21"/>
          <w:highlight w:val="none"/>
          <w14:textFill>
            <w14:solidFill>
              <w14:schemeClr w14:val="tx1"/>
            </w14:solidFill>
          </w14:textFill>
        </w:rPr>
      </w:pPr>
      <w:r>
        <w:rPr>
          <w:rFonts w:hint="eastAsia" w:ascii="Calibri" w:hAnsi="Calibri" w:cs="Calibri"/>
          <w:b/>
          <w:bCs/>
          <w:color w:val="000000" w:themeColor="text1"/>
          <w:sz w:val="21"/>
          <w:szCs w:val="21"/>
          <w:highlight w:val="none"/>
          <w14:textFill>
            <w14:solidFill>
              <w14:schemeClr w14:val="tx1"/>
            </w14:solidFill>
          </w14:textFill>
        </w:rPr>
        <w:t xml:space="preserve">③</w:t>
      </w:r>
      <w:r>
        <w:rPr>
          <w:rFonts w:hint="eastAsia" w:cs="宋体"/>
          <w:b/>
          <w:bCs/>
          <w:color w:val="000000" w:themeColor="text1"/>
          <w:sz w:val="21"/>
          <w:szCs w:val="21"/>
          <w:highlight w:val="none"/>
          <w14:textFill>
            <w14:solidFill>
              <w14:schemeClr w14:val="tx1"/>
            </w14:solidFill>
          </w14:textFill>
        </w:rPr>
        <w:t xml:space="preserve">项目经理年龄在</w:t>
      </w:r>
      <w:r>
        <w:rPr>
          <w:rFonts w:cs="宋体"/>
          <w:b/>
          <w:bCs/>
          <w:color w:val="000000" w:themeColor="text1"/>
          <w:sz w:val="21"/>
          <w:szCs w:val="21"/>
          <w:highlight w:val="none"/>
          <w14:textFill>
            <w14:solidFill>
              <w14:schemeClr w14:val="tx1"/>
            </w14:solidFill>
          </w14:textFill>
        </w:rPr>
        <w:t xml:space="preserve">50</w:t>
      </w:r>
      <w:r>
        <w:rPr>
          <w:rFonts w:hint="eastAsia" w:cs="宋体"/>
          <w:b/>
          <w:bCs/>
          <w:color w:val="000000" w:themeColor="text1"/>
          <w:sz w:val="21"/>
          <w:szCs w:val="21"/>
          <w:highlight w:val="none"/>
          <w14:textFill>
            <w14:solidFill>
              <w14:schemeClr w14:val="tx1"/>
            </w14:solidFill>
          </w14:textFill>
        </w:rPr>
        <w:t xml:space="preserve">周岁及以下的得</w:t>
      </w:r>
      <w:r>
        <w:rPr>
          <w:rFonts w:cs="宋体"/>
          <w:b/>
          <w:bCs/>
          <w:color w:val="000000" w:themeColor="text1"/>
          <w:sz w:val="21"/>
          <w:szCs w:val="21"/>
          <w:highlight w:val="none"/>
          <w14:textFill>
            <w14:solidFill>
              <w14:schemeClr w14:val="tx1"/>
            </w14:solidFill>
          </w14:textFill>
        </w:rPr>
        <w:t xml:space="preserve">5分</w:t>
      </w:r>
      <w:r>
        <w:rPr>
          <w:rFonts w:hint="eastAsia" w:cs="宋体"/>
          <w:b/>
          <w:bCs/>
          <w:color w:val="000000" w:themeColor="text1"/>
          <w:sz w:val="21"/>
          <w:szCs w:val="21"/>
          <w:highlight w:val="none"/>
          <w14:textFill>
            <w14:solidFill>
              <w14:schemeClr w14:val="tx1"/>
            </w14:solidFill>
          </w14:textFill>
        </w:rPr>
        <w:t xml:space="preserve">。</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注：提供身份证扫描件，否则不得分。</w:t>
      </w:r>
      <w:r/>
    </w:p>
    <w:p>
      <w:pPr>
        <w:pStyle w:val="1219"/>
        <w:ind w:firstLine="422"/>
        <w:rPr>
          <w:rFonts w:cs="宋体"/>
          <w:b/>
          <w:bCs/>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14:textFill>
            <w14:solidFill>
              <w14:schemeClr w14:val="tx1"/>
            </w14:solidFill>
          </w14:textFill>
        </w:rPr>
        <w:t xml:space="preserve">（</w:t>
      </w:r>
      <w:r>
        <w:rPr>
          <w:rFonts w:cs="宋体"/>
          <w:b/>
          <w:bCs/>
          <w:color w:val="000000" w:themeColor="text1"/>
          <w:sz w:val="21"/>
          <w:szCs w:val="21"/>
          <w:highlight w:val="none"/>
          <w14:textFill>
            <w14:solidFill>
              <w14:schemeClr w14:val="tx1"/>
            </w14:solidFill>
          </w14:textFill>
        </w:rPr>
        <w:t xml:space="preserve">2）安全员：12</w:t>
      </w:r>
      <w:r>
        <w:rPr>
          <w:rFonts w:hint="eastAsia" w:cs="宋体"/>
          <w:b/>
          <w:bCs/>
          <w:color w:val="000000" w:themeColor="text1"/>
          <w:sz w:val="21"/>
          <w:szCs w:val="21"/>
          <w:highlight w:val="none"/>
          <w14:textFill>
            <w14:solidFill>
              <w14:schemeClr w14:val="tx1"/>
            </w14:solidFill>
          </w14:textFill>
        </w:rPr>
        <w:t xml:space="preserve">分</w:t>
      </w:r>
      <w:r/>
    </w:p>
    <w:p>
      <w:pPr>
        <w:pStyle w:val="1219"/>
        <w:ind w:firstLine="417"/>
        <w:rPr>
          <w:rFonts w:cs="宋体"/>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14:textFill>
            <w14:solidFill>
              <w14:schemeClr w14:val="tx1"/>
            </w14:solidFill>
          </w14:textFill>
        </w:rPr>
        <w:t xml:space="preserve">①具有政府安监部门（应急管理部门）或其认可的相关培训机构颁发的安全员证书的，得</w:t>
      </w:r>
      <w:r>
        <w:rPr>
          <w:rFonts w:cs="宋体"/>
          <w:b/>
          <w:bCs/>
          <w:color w:val="000000" w:themeColor="text1"/>
          <w:sz w:val="21"/>
          <w:szCs w:val="21"/>
          <w:highlight w:val="none"/>
          <w14:textFill>
            <w14:solidFill>
              <w14:schemeClr w14:val="tx1"/>
            </w14:solidFill>
          </w14:textFill>
        </w:rPr>
        <w:t xml:space="preserve">4分</w:t>
      </w:r>
      <w:r>
        <w:rPr>
          <w:rFonts w:hint="eastAsia" w:cs="宋体"/>
          <w:b/>
          <w:bCs/>
          <w:color w:val="000000" w:themeColor="text1"/>
          <w:sz w:val="21"/>
          <w:szCs w:val="21"/>
          <w:highlight w:val="none"/>
          <w14:textFill>
            <w14:solidFill>
              <w14:schemeClr w14:val="tx1"/>
            </w14:solidFill>
          </w14:textFill>
        </w:rPr>
        <w:t xml:space="preserve">。</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注：投标文件中提供安全员证书扫描件。</w:t>
      </w:r>
      <w:r/>
    </w:p>
    <w:p>
      <w:pPr>
        <w:pStyle w:val="1219"/>
        <w:ind w:firstLine="417"/>
        <w:rPr>
          <w:rFonts w:cs="宋体"/>
          <w:b/>
          <w:bCs/>
          <w:color w:val="000000" w:themeColor="text1"/>
          <w:sz w:val="21"/>
          <w:szCs w:val="21"/>
          <w:highlight w:val="none"/>
          <w14:textFill>
            <w14:solidFill>
              <w14:schemeClr w14:val="tx1"/>
            </w14:solidFill>
          </w14:textFill>
        </w:rPr>
      </w:pPr>
      <w:r>
        <w:rPr>
          <w:rFonts w:hint="eastAsia" w:cs="宋体"/>
          <w:b/>
          <w:bCs/>
          <w:color w:val="000000" w:themeColor="text1"/>
          <w:sz w:val="21"/>
          <w:szCs w:val="21"/>
          <w:highlight w:val="none"/>
          <w14:textFill>
            <w14:solidFill>
              <w14:schemeClr w14:val="tx1"/>
            </w14:solidFill>
          </w14:textFill>
        </w:rPr>
        <w:t xml:space="preserve">②年龄在</w:t>
      </w:r>
      <w:r>
        <w:rPr>
          <w:rFonts w:cs="宋体"/>
          <w:b/>
          <w:bCs/>
          <w:color w:val="000000" w:themeColor="text1"/>
          <w:sz w:val="21"/>
          <w:szCs w:val="21"/>
          <w:highlight w:val="none"/>
          <w14:textFill>
            <w14:solidFill>
              <w14:schemeClr w14:val="tx1"/>
            </w14:solidFill>
          </w14:textFill>
        </w:rPr>
        <w:t xml:space="preserve">50周岁及以下的得4分</w:t>
      </w:r>
      <w:r>
        <w:rPr>
          <w:rFonts w:hint="eastAsia" w:cs="宋体"/>
          <w:b/>
          <w:bCs/>
          <w:color w:val="000000" w:themeColor="text1"/>
          <w:sz w:val="21"/>
          <w:szCs w:val="21"/>
          <w:highlight w:val="none"/>
          <w14:textFill>
            <w14:solidFill>
              <w14:schemeClr w14:val="tx1"/>
            </w14:solidFill>
          </w14:textFill>
        </w:rPr>
        <w:t xml:space="preserve">。</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注：提供身份证扫描件，否则不得分。</w:t>
      </w:r>
      <w:r/>
    </w:p>
    <w:p>
      <w:pPr>
        <w:pStyle w:val="1219"/>
        <w:ind w:firstLine="417"/>
        <w:rPr>
          <w:rFonts w:cs="宋体"/>
          <w:b/>
          <w:bCs/>
          <w:color w:val="000000" w:themeColor="text1"/>
          <w:sz w:val="21"/>
          <w:szCs w:val="21"/>
          <w:highlight w:val="none"/>
          <w14:textFill>
            <w14:solidFill>
              <w14:schemeClr w14:val="tx1"/>
            </w14:solidFill>
          </w14:textFill>
        </w:rPr>
      </w:pPr>
      <w:r>
        <w:rPr>
          <w:rFonts w:hint="eastAsia" w:ascii="Calibri" w:hAnsi="Calibri" w:cs="Calibri"/>
          <w:b/>
          <w:bCs/>
          <w:color w:val="000000" w:themeColor="text1"/>
          <w:sz w:val="21"/>
          <w:szCs w:val="21"/>
          <w:highlight w:val="none"/>
          <w14:textFill>
            <w14:solidFill>
              <w14:schemeClr w14:val="tx1"/>
            </w14:solidFill>
          </w14:textFill>
        </w:rPr>
        <w:t xml:space="preserve">③</w:t>
      </w:r>
      <w:r>
        <w:rPr>
          <w:rFonts w:hint="eastAsia" w:cs="宋体"/>
          <w:b/>
          <w:bCs/>
          <w:color w:val="000000" w:themeColor="text1"/>
          <w:sz w:val="21"/>
          <w:szCs w:val="21"/>
          <w:highlight w:val="none"/>
          <w14:textFill>
            <w14:solidFill>
              <w14:schemeClr w14:val="tx1"/>
            </w14:solidFill>
          </w14:textFill>
        </w:rPr>
        <w:t xml:space="preserve">安全员有</w:t>
      </w:r>
      <w:r>
        <w:rPr>
          <w:rFonts w:cs="宋体"/>
          <w:b/>
          <w:bCs/>
          <w:color w:val="000000" w:themeColor="text1"/>
          <w:sz w:val="21"/>
          <w:szCs w:val="21"/>
          <w:highlight w:val="none"/>
          <w14:textFill>
            <w14:solidFill>
              <w14:schemeClr w14:val="tx1"/>
            </w14:solidFill>
          </w14:textFill>
        </w:rPr>
        <w:t xml:space="preserve">c1及以上驾照</w:t>
      </w:r>
      <w:r>
        <w:rPr>
          <w:rFonts w:hint="eastAsia" w:cs="宋体"/>
          <w:b/>
          <w:bCs/>
          <w:color w:val="000000" w:themeColor="text1"/>
          <w:sz w:val="21"/>
          <w:szCs w:val="21"/>
          <w:highlight w:val="none"/>
          <w14:textFill>
            <w14:solidFill>
              <w14:schemeClr w14:val="tx1"/>
            </w14:solidFill>
          </w14:textFill>
        </w:rPr>
        <w:t xml:space="preserve">的得</w:t>
      </w:r>
      <w:r>
        <w:rPr>
          <w:rFonts w:cs="宋体"/>
          <w:b/>
          <w:bCs/>
          <w:color w:val="000000" w:themeColor="text1"/>
          <w:sz w:val="21"/>
          <w:szCs w:val="21"/>
          <w:highlight w:val="none"/>
          <w14:textFill>
            <w14:solidFill>
              <w14:schemeClr w14:val="tx1"/>
            </w14:solidFill>
          </w14:textFill>
        </w:rPr>
        <w:t xml:space="preserve">4分</w:t>
      </w:r>
      <w:r>
        <w:rPr>
          <w:rFonts w:hint="eastAsia" w:cs="宋体"/>
          <w:b/>
          <w:bCs/>
          <w:color w:val="000000" w:themeColor="text1"/>
          <w:sz w:val="21"/>
          <w:szCs w:val="21"/>
          <w:highlight w:val="none"/>
          <w14:textFill>
            <w14:solidFill>
              <w14:schemeClr w14:val="tx1"/>
            </w14:solidFill>
          </w14:textFill>
        </w:rPr>
        <w:t xml:space="preserve">。</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注：提供驾照扫描件，否则不得分。</w:t>
      </w:r>
      <w:r/>
    </w:p>
    <w:p>
      <w:pPr>
        <w:pStyle w:val="1219"/>
        <w:ind w:firstLine="417"/>
        <w:rPr>
          <w:rFonts w:cs="宋体"/>
          <w:b/>
          <w:color w:val="000000" w:themeColor="text1"/>
          <w:sz w:val="21"/>
          <w:szCs w:val="21"/>
          <w:highlight w:val="none"/>
          <w14:textFill>
            <w14:solidFill>
              <w14:schemeClr w14:val="tx1"/>
            </w14:solidFill>
          </w14:textFill>
        </w:rPr>
      </w:pPr>
      <w:r>
        <w:rPr>
          <w:rFonts w:cs="宋体"/>
          <w:b/>
          <w:color w:val="000000" w:themeColor="text1"/>
          <w:sz w:val="21"/>
          <w:szCs w:val="21"/>
          <w:highlight w:val="none"/>
          <w14:textFill>
            <w14:solidFill>
              <w14:schemeClr w14:val="tx1"/>
            </w14:solidFill>
          </w14:textFill>
        </w:rPr>
        <w:t xml:space="preserve">2、投标人类似服务经验（18分）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该项需提供</w:t>
      </w:r>
      <w:r>
        <w:rPr>
          <w:rFonts w:hint="eastAsia" w:cs="宋体"/>
          <w:color w:val="000000" w:themeColor="text1"/>
          <w:sz w:val="21"/>
          <w:szCs w:val="21"/>
          <w:highlight w:val="none"/>
          <w:lang w:val="en-US" w:eastAsia="zh-CN"/>
          <w14:textFill>
            <w14:solidFill>
              <w14:schemeClr w14:val="tx1"/>
            </w14:solidFill>
          </w14:textFill>
        </w:rPr>
        <w:t xml:space="preserve">投标人</w:t>
      </w:r>
      <w:r>
        <w:rPr>
          <w:rFonts w:hint="eastAsia" w:cs="宋体"/>
          <w:color w:val="000000" w:themeColor="text1"/>
          <w:sz w:val="21"/>
          <w:szCs w:val="21"/>
          <w:highlight w:val="none"/>
          <w14:textFill>
            <w14:solidFill>
              <w14:schemeClr w14:val="tx1"/>
            </w14:solidFill>
          </w14:textFill>
        </w:rPr>
        <w:t xml:space="preserve">自</w:t>
      </w:r>
      <w:r>
        <w:rPr>
          <w:rFonts w:cs="宋体"/>
          <w:color w:val="000000" w:themeColor="text1"/>
          <w:sz w:val="21"/>
          <w:szCs w:val="21"/>
          <w:highlight w:val="none"/>
          <w14:textFill>
            <w14:solidFill>
              <w14:schemeClr w14:val="tx1"/>
            </w14:solidFill>
          </w14:textFill>
        </w:rPr>
        <w:t xml:space="preserve">2021</w:t>
      </w:r>
      <w:r>
        <w:rPr>
          <w:rFonts w:hint="eastAsia" w:cs="宋体"/>
          <w:color w:val="000000" w:themeColor="text1"/>
          <w:sz w:val="21"/>
          <w:szCs w:val="21"/>
          <w:highlight w:val="none"/>
          <w14:textFill>
            <w14:solidFill>
              <w14:schemeClr w14:val="tx1"/>
            </w14:solidFill>
          </w14:textFill>
        </w:rPr>
        <w:t xml:space="preserve">年</w:t>
      </w:r>
      <w:r>
        <w:rPr>
          <w:rFonts w:cs="宋体"/>
          <w:color w:val="000000" w:themeColor="text1"/>
          <w:sz w:val="21"/>
          <w:szCs w:val="21"/>
          <w:highlight w:val="none"/>
          <w14:textFill>
            <w14:solidFill>
              <w14:schemeClr w14:val="tx1"/>
            </w14:solidFill>
          </w14:textFill>
        </w:rPr>
        <w:t xml:space="preserve">1月1日（含）</w:t>
      </w:r>
      <w:r>
        <w:rPr>
          <w:rFonts w:hint="eastAsia" w:cs="宋体"/>
          <w:color w:val="000000" w:themeColor="text1"/>
          <w:sz w:val="21"/>
          <w:szCs w:val="21"/>
          <w:highlight w:val="none"/>
          <w14:textFill>
            <w14:solidFill>
              <w14:schemeClr w14:val="tx1"/>
            </w14:solidFill>
          </w14:textFill>
        </w:rPr>
        <w:t xml:space="preserve">后已履行验收完成的类似项目业绩合同（服务期至少12个月的合同扫描件）以及业主方出具的履约验收证明扫描件。</w:t>
      </w:r>
      <w:r>
        <w:rPr>
          <w:rFonts w:cs="宋体"/>
          <w:color w:val="000000" w:themeColor="text1"/>
          <w:sz w:val="21"/>
          <w:szCs w:val="21"/>
          <w:highlight w:val="none"/>
          <w14:textFill>
            <w14:solidFill>
              <w14:schemeClr w14:val="tx1"/>
            </w14:solidFill>
          </w14:textFill>
        </w:rPr>
        <w:t xml:space="preserve">每有一份得6分，满分18分。</w:t>
      </w:r>
      <w:r/>
    </w:p>
    <w:p>
      <w:pPr>
        <w:pStyle w:val="1219"/>
        <w:ind w:firstLine="415"/>
        <w:rPr>
          <w:rFonts w:hint="eastAsia" w:cs="宋体"/>
          <w:color w:val="000000" w:themeColor="text1"/>
          <w:sz w:val="21"/>
          <w:szCs w:val="21"/>
          <w:highlight w:val="none"/>
          <w14:textFill>
            <w14:solidFill>
              <w14:schemeClr w14:val="tx1"/>
            </w14:solidFill>
          </w14:textFill>
        </w:rPr>
      </w:pPr>
      <w:r>
        <w:rPr>
          <w:rFonts w:hint="default" w:cs="宋体"/>
          <w:b w:val="0"/>
          <w:color w:val="000000" w:themeColor="text1"/>
          <w:sz w:val="21"/>
          <w:szCs w:val="21"/>
          <w:highlight w:val="none"/>
          <w14:textFill>
            <w14:solidFill>
              <w14:schemeClr w14:val="tx1"/>
            </w14:solidFill>
          </w14:textFill>
        </w:rPr>
        <w:t xml:space="preserve">注：</w:t>
      </w:r>
      <w:r>
        <w:rPr>
          <w:rFonts w:cs="宋体"/>
          <w:b w:val="0"/>
          <w:color w:val="000000" w:themeColor="text1"/>
          <w:sz w:val="21"/>
          <w:szCs w:val="21"/>
          <w:highlight w:val="none"/>
          <w14:textFill>
            <w14:solidFill>
              <w14:schemeClr w14:val="tx1"/>
            </w14:solidFill>
          </w14:textFill>
        </w:rPr>
        <w:t xml:space="preserve">&lt;1&gt;类似业绩是指</w:t>
      </w:r>
      <w:r>
        <w:rPr>
          <w:rFonts w:hint="eastAsia" w:cs="宋体"/>
          <w:color w:val="000000" w:themeColor="text1"/>
          <w:sz w:val="21"/>
          <w:szCs w:val="21"/>
          <w:highlight w:val="none"/>
          <w14:textFill>
            <w14:solidFill>
              <w14:schemeClr w14:val="tx1"/>
            </w14:solidFill>
          </w14:textFill>
        </w:rPr>
        <w:t xml:space="preserve">2021年1月1日（含）以后已履行验收完成的服务内容</w:t>
      </w:r>
      <w:r>
        <w:rPr>
          <w:rFonts w:cs="宋体"/>
          <w:b w:val="0"/>
          <w:color w:val="000000" w:themeColor="text1"/>
          <w:sz w:val="21"/>
          <w:szCs w:val="21"/>
          <w:highlight w:val="none"/>
          <w14:textFill>
            <w14:solidFill>
              <w14:schemeClr w14:val="tx1"/>
            </w14:solidFill>
          </w14:textFill>
        </w:rPr>
        <w:t xml:space="preserve">涵盖城市道路保洁或抑尘服务的合同，</w:t>
      </w:r>
      <w:r>
        <w:rPr>
          <w:rFonts w:hint="eastAsia" w:cs="宋体"/>
          <w:color w:val="000000" w:themeColor="text1"/>
          <w:sz w:val="21"/>
          <w:szCs w:val="21"/>
          <w:highlight w:val="none"/>
          <w14:textFill>
            <w14:solidFill>
              <w14:schemeClr w14:val="tx1"/>
            </w14:solidFill>
          </w14:textFill>
        </w:rPr>
        <w:t xml:space="preserve">且合同期限为一年（12个月）或一年（12个月）以上；</w:t>
      </w:r>
      <w:r/>
    </w:p>
    <w:p>
      <w:pPr>
        <w:pStyle w:val="1219"/>
        <w:ind w:firstLine="415"/>
        <w:rPr>
          <w:rFonts w:hint="eastAsia" w:ascii="宋体" w:hAnsi="宋体" w:eastAsia="宋体" w:cs="宋体"/>
          <w:b w:val="0"/>
          <w:color w:val="000000" w:themeColor="text1"/>
          <w:sz w:val="21"/>
          <w:szCs w:val="21"/>
          <w:highlight w:val="none"/>
          <w14:textFill>
            <w14:solidFill>
              <w14:schemeClr w14:val="tx1"/>
            </w14:solidFill>
          </w14:textFill>
        </w:rPr>
      </w:pPr>
      <w:r>
        <w:rPr>
          <w:rFonts w:hint="eastAsia" w:ascii="宋体" w:hAnsi="宋体" w:eastAsia="宋体" w:cs="宋体"/>
          <w:b w:val="0"/>
          <w:color w:val="000000" w:themeColor="text1"/>
          <w:sz w:val="21"/>
          <w:szCs w:val="21"/>
          <w:highlight w:val="none"/>
          <w14:textFill>
            <w14:solidFill>
              <w14:schemeClr w14:val="tx1"/>
            </w14:solidFill>
          </w14:textFill>
        </w:rPr>
        <w:t xml:space="preserve"> &lt;2&gt;服务期限为多年但合同一年（12个月）一签的类似项目业绩仅按一项类似业绩计取。</w:t>
      </w:r>
      <w:r/>
    </w:p>
    <w:p>
      <w:pPr>
        <w:pStyle w:val="1219"/>
        <w:ind w:firstLine="415"/>
        <w:rPr>
          <w:rFonts w:ascii="宋体" w:hAnsi="宋体" w:eastAsia="宋体" w:cs="宋体"/>
          <w:b w:val="0"/>
          <w:color w:val="000000" w:themeColor="text1"/>
          <w:sz w:val="21"/>
          <w:szCs w:val="21"/>
          <w:highlight w:val="none"/>
          <w14:textFill>
            <w14:solidFill>
              <w14:schemeClr w14:val="tx1"/>
            </w14:solidFill>
          </w14:textFill>
        </w:rPr>
      </w:pPr>
      <w:r>
        <w:rPr>
          <w:rFonts w:ascii="宋体" w:hAnsi="宋体" w:eastAsia="宋体" w:cs="宋体"/>
          <w:b w:val="0"/>
          <w:color w:val="000000" w:themeColor="text1"/>
          <w:sz w:val="21"/>
          <w:szCs w:val="21"/>
          <w:highlight w:val="none"/>
          <w14:textFill>
            <w14:solidFill>
              <w14:schemeClr w14:val="tx1"/>
            </w14:solidFill>
          </w14:textFill>
        </w:rPr>
        <w:t xml:space="preserve">&lt;</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3</w:t>
      </w:r>
      <w:r>
        <w:rPr>
          <w:rFonts w:ascii="宋体" w:hAnsi="宋体" w:eastAsia="宋体" w:cs="宋体"/>
          <w:b w:val="0"/>
          <w:color w:val="000000" w:themeColor="text1"/>
          <w:sz w:val="21"/>
          <w:szCs w:val="21"/>
          <w:highlight w:val="none"/>
          <w14:textFill>
            <w14:solidFill>
              <w14:schemeClr w14:val="tx1"/>
            </w14:solidFill>
          </w14:textFill>
        </w:rPr>
        <w:t xml:space="preserve">&gt;投标人需同时提供有效合同复印件、履约验收证明</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扫描</w:t>
      </w:r>
      <w:r>
        <w:rPr>
          <w:rFonts w:ascii="宋体" w:hAnsi="宋体" w:eastAsia="宋体" w:cs="宋体"/>
          <w:b w:val="0"/>
          <w:color w:val="000000" w:themeColor="text1"/>
          <w:sz w:val="21"/>
          <w:szCs w:val="21"/>
          <w:highlight w:val="none"/>
          <w14:textFill>
            <w14:solidFill>
              <w14:schemeClr w14:val="tx1"/>
            </w14:solidFill>
          </w14:textFill>
        </w:rPr>
        <w:t xml:space="preserve">件、及该项目合同期内的至少一张发票扫描件（提供发票的开票时间须在合同期内）。未提供以上有效资料或提供不完整的，该项不得分。</w:t>
      </w:r>
      <w:r/>
    </w:p>
    <w:p>
      <w:pPr>
        <w:pStyle w:val="1219"/>
        <w:ind w:firstLine="415"/>
        <w:rPr>
          <w:rFonts w:ascii="宋体" w:hAnsi="宋体" w:eastAsia="宋体" w:cs="宋体"/>
          <w:b w:val="0"/>
          <w:color w:val="000000" w:themeColor="text1"/>
          <w:sz w:val="21"/>
          <w:szCs w:val="21"/>
          <w:highlight w:val="none"/>
          <w14:textFill>
            <w14:solidFill>
              <w14:schemeClr w14:val="tx1"/>
            </w14:solidFill>
          </w14:textFill>
        </w:rPr>
      </w:pPr>
      <w:r>
        <w:rPr>
          <w:rFonts w:ascii="宋体" w:hAnsi="宋体" w:eastAsia="宋体" w:cs="宋体"/>
          <w:b w:val="0"/>
          <w:color w:val="000000" w:themeColor="text1"/>
          <w:sz w:val="21"/>
          <w:szCs w:val="21"/>
          <w:highlight w:val="none"/>
          <w14:textFill>
            <w14:solidFill>
              <w14:schemeClr w14:val="tx1"/>
            </w14:solidFill>
          </w14:textFill>
        </w:rPr>
        <w:t xml:space="preserve">&lt;</w:t>
      </w:r>
      <w:r>
        <w:rPr>
          <w:rFonts w:hint="eastAsia" w:ascii="宋体" w:hAnsi="宋体" w:eastAsia="宋体" w:cs="宋体"/>
          <w:b w:val="0"/>
          <w:color w:val="000000" w:themeColor="text1"/>
          <w:sz w:val="21"/>
          <w:szCs w:val="21"/>
          <w:highlight w:val="none"/>
          <w:lang w:val="en-US" w:eastAsia="zh-CN"/>
          <w14:textFill>
            <w14:solidFill>
              <w14:schemeClr w14:val="tx1"/>
            </w14:solidFill>
          </w14:textFill>
        </w:rPr>
        <w:t xml:space="preserve">4</w:t>
      </w:r>
      <w:r>
        <w:rPr>
          <w:rFonts w:ascii="宋体" w:hAnsi="宋体" w:eastAsia="宋体" w:cs="宋体"/>
          <w:b w:val="0"/>
          <w:color w:val="000000" w:themeColor="text1"/>
          <w:sz w:val="21"/>
          <w:szCs w:val="21"/>
          <w:highlight w:val="none"/>
          <w14:textFill>
            <w14:solidFill>
              <w14:schemeClr w14:val="tx1"/>
            </w14:solidFill>
          </w14:textFill>
        </w:rPr>
        <w:t xml:space="preserve">&gt;项目经理类似业绩与投标人类似项目业绩不重复评审得分，如出现重复，该业绩仅在“项目经理类似业绩”处评审计分。</w:t>
      </w:r>
      <w:r/>
    </w:p>
    <w:p>
      <w:pPr>
        <w:pStyle w:val="1219"/>
        <w:ind w:firstLine="417"/>
        <w:rPr>
          <w:rFonts w:cs="宋体"/>
          <w:b/>
          <w:color w:val="000000" w:themeColor="text1"/>
          <w:sz w:val="21"/>
          <w:szCs w:val="21"/>
          <w:highlight w:val="none"/>
          <w14:textFill>
            <w14:solidFill>
              <w14:schemeClr w14:val="tx1"/>
            </w14:solidFill>
          </w14:textFill>
        </w:rPr>
      </w:pPr>
      <w:r>
        <w:rPr>
          <w:rFonts w:cs="宋体"/>
          <w:b/>
          <w:color w:val="000000" w:themeColor="text1"/>
          <w:sz w:val="21"/>
          <w:szCs w:val="21"/>
          <w:highlight w:val="none"/>
          <w14:textFill>
            <w14:solidFill>
              <w14:schemeClr w14:val="tx1"/>
            </w14:solidFill>
          </w14:textFill>
        </w:rPr>
        <w:t xml:space="preserve">3、ISO体系认证：9分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投标人具有有效的质量管理体系认证证书、环境管理体系认证证书及职业健康安全管理体系认证证书的，</w:t>
      </w:r>
      <w:bookmarkStart w:id="77" w:name="OLE_LINK1"/>
      <w:r>
        <w:rPr>
          <w:rFonts w:hint="eastAsia" w:cs="宋体"/>
          <w:color w:val="000000" w:themeColor="text1"/>
          <w:sz w:val="21"/>
          <w:szCs w:val="21"/>
          <w:highlight w:val="none"/>
          <w14:textFill>
            <w14:solidFill>
              <w14:schemeClr w14:val="tx1"/>
            </w14:solidFill>
          </w14:textFill>
        </w:rPr>
        <w:t xml:space="preserve">每具有一项得</w:t>
      </w:r>
      <w:r>
        <w:rPr>
          <w:rFonts w:cs="宋体"/>
          <w:color w:val="000000" w:themeColor="text1"/>
          <w:sz w:val="21"/>
          <w:szCs w:val="21"/>
          <w:highlight w:val="none"/>
          <w14:textFill>
            <w14:solidFill>
              <w14:schemeClr w14:val="tx1"/>
            </w14:solidFill>
          </w14:textFill>
        </w:rPr>
        <w:t xml:space="preserve">3</w:t>
      </w:r>
      <w:r>
        <w:rPr>
          <w:rFonts w:hint="eastAsia" w:cs="宋体"/>
          <w:color w:val="000000" w:themeColor="text1"/>
          <w:sz w:val="21"/>
          <w:szCs w:val="21"/>
          <w:highlight w:val="none"/>
          <w14:textFill>
            <w14:solidFill>
              <w14:schemeClr w14:val="tx1"/>
            </w14:solidFill>
          </w14:textFill>
        </w:rPr>
        <w:t xml:space="preserve">分，最高得</w:t>
      </w:r>
      <w:r>
        <w:rPr>
          <w:rFonts w:cs="宋体"/>
          <w:color w:val="000000" w:themeColor="text1"/>
          <w:sz w:val="21"/>
          <w:szCs w:val="21"/>
          <w:highlight w:val="none"/>
          <w14:textFill>
            <w14:solidFill>
              <w14:schemeClr w14:val="tx1"/>
            </w14:solidFill>
          </w14:textFill>
        </w:rPr>
        <w:t xml:space="preserve">9</w:t>
      </w:r>
      <w:r>
        <w:rPr>
          <w:rFonts w:hint="eastAsia" w:cs="宋体"/>
          <w:color w:val="000000" w:themeColor="text1"/>
          <w:sz w:val="21"/>
          <w:szCs w:val="21"/>
          <w:highlight w:val="none"/>
          <w14:textFill>
            <w14:solidFill>
              <w14:schemeClr w14:val="tx1"/>
            </w14:solidFill>
          </w14:textFill>
        </w:rPr>
        <w:t xml:space="preserve">分</w:t>
      </w:r>
      <w:bookmarkEnd w:id="77"/>
      <w:r>
        <w:rPr>
          <w:rFonts w:hint="eastAsia" w:cs="宋体"/>
          <w:color w:val="000000" w:themeColor="text1"/>
          <w:sz w:val="21"/>
          <w:szCs w:val="21"/>
          <w:highlight w:val="none"/>
          <w14:textFill>
            <w14:solidFill>
              <w14:schemeClr w14:val="tx1"/>
            </w14:solidFill>
          </w14:textFill>
        </w:rPr>
        <w:t xml:space="preserve">，未提供相关证明的不得分。</w:t>
      </w:r>
      <w:r/>
    </w:p>
    <w:p>
      <w:pPr>
        <w:pStyle w:val="1219"/>
        <w:ind w:firstLine="415"/>
        <w:rPr>
          <w:rFonts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14:textFill>
            <w14:solidFill>
              <w14:schemeClr w14:val="tx1"/>
            </w14:solidFill>
          </w14:textFill>
        </w:rPr>
        <w:t xml:space="preserve">注：投标文件中需提供相关证书扫描件，同时需提供该证书在中国国家认证认可监督管理委员会网站</w:t>
      </w:r>
      <w:r>
        <w:rPr>
          <w:rFonts w:cs="宋体"/>
          <w:color w:val="000000" w:themeColor="text1"/>
          <w:sz w:val="21"/>
          <w:szCs w:val="21"/>
          <w:highlight w:val="none"/>
          <w14:textFill>
            <w14:solidFill>
              <w14:schemeClr w14:val="tx1"/>
            </w14:solidFill>
          </w14:textFill>
        </w:rPr>
        <w:t xml:space="preserve">http://www.cnca.gov.cn/查询截图</w:t>
      </w:r>
      <w:r>
        <w:rPr>
          <w:rFonts w:cs="宋体"/>
          <w:b/>
          <w:bCs/>
          <w:color w:val="000000" w:themeColor="text1"/>
          <w:sz w:val="21"/>
          <w:szCs w:val="21"/>
          <w:highlight w:val="none"/>
          <w14:textFill>
            <w14:solidFill>
              <w14:schemeClr w14:val="tx1"/>
            </w14:solidFill>
          </w14:textFill>
        </w:rPr>
        <w:t xml:space="preserve">（须体现查询日期</w:t>
      </w:r>
      <w:r>
        <w:rPr>
          <w:rFonts w:hint="eastAsia" w:cs="宋体"/>
          <w:b/>
          <w:bCs/>
          <w:color w:val="000000" w:themeColor="text1"/>
          <w:sz w:val="21"/>
          <w:szCs w:val="21"/>
          <w:highlight w:val="none"/>
          <w14:textFill>
            <w14:solidFill>
              <w14:schemeClr w14:val="tx1"/>
            </w14:solidFill>
          </w14:textFill>
        </w:rPr>
        <w:t xml:space="preserve">且在招标公告日期之后）</w:t>
      </w:r>
      <w:r>
        <w:rPr>
          <w:rFonts w:hint="eastAsia" w:cs="宋体"/>
          <w:color w:val="000000" w:themeColor="text1"/>
          <w:sz w:val="21"/>
          <w:szCs w:val="21"/>
          <w:highlight w:val="none"/>
          <w14:textFill>
            <w14:solidFill>
              <w14:schemeClr w14:val="tx1"/>
            </w14:solidFill>
          </w14:textFill>
        </w:rPr>
        <w:t xml:space="preserve">。以上资料未提供或提供不完整的对应项不得分。</w:t>
      </w:r>
      <w:r/>
    </w:p>
    <w:p>
      <w:pPr>
        <w:pStyle w:val="1219"/>
        <w:ind w:firstLine="417"/>
        <w:rPr>
          <w:rFonts w:cs="宋体"/>
          <w:b w:val="0"/>
          <w:bCs/>
          <w:color w:val="000000" w:themeColor="text1"/>
          <w:sz w:val="21"/>
          <w:szCs w:val="21"/>
          <w:highlight w:val="none"/>
          <w14:textFill>
            <w14:solidFill>
              <w14:schemeClr w14:val="tx1"/>
            </w14:solidFill>
          </w14:textFill>
        </w:rPr>
      </w:pPr>
      <w:r>
        <w:rPr>
          <w:rFonts w:cs="宋体"/>
          <w:b/>
          <w:bCs w:val="0"/>
          <w:color w:val="000000" w:themeColor="text1"/>
          <w:sz w:val="21"/>
          <w:szCs w:val="21"/>
          <w:highlight w:val="none"/>
          <w14:textFill>
            <w14:solidFill>
              <w14:schemeClr w14:val="tx1"/>
            </w14:solidFill>
          </w14:textFill>
        </w:rPr>
        <w:t xml:space="preserve">4、投标人自2021年1月1日至今获得县（区）级及以上政府或县（区）级及以上环卫行政主管部门颁发的 </w:t>
      </w:r>
      <w:r>
        <w:rPr>
          <w:rFonts w:hint="eastAsia" w:cs="宋体"/>
          <w:b/>
          <w:bCs w:val="0"/>
          <w:color w:val="000000" w:themeColor="text1"/>
          <w:sz w:val="21"/>
          <w:szCs w:val="21"/>
          <w:highlight w:val="none"/>
          <w14:textFill>
            <w14:solidFill>
              <w14:schemeClr w14:val="tx1"/>
            </w14:solidFill>
          </w14:textFill>
        </w:rPr>
        <w:t xml:space="preserve">“先进集体”或“先进单位”或“优胜单位”等相关荣誉的</w:t>
      </w:r>
      <w:r>
        <w:rPr>
          <w:rFonts w:hint="eastAsia" w:cs="宋体"/>
          <w:b w:val="0"/>
          <w:bCs/>
          <w:color w:val="000000" w:themeColor="text1"/>
          <w:sz w:val="21"/>
          <w:szCs w:val="21"/>
          <w:highlight w:val="none"/>
          <w14:textFill>
            <w14:solidFill>
              <w14:schemeClr w14:val="tx1"/>
            </w14:solidFill>
          </w14:textFill>
        </w:rPr>
        <w:t xml:space="preserve">，有一个得</w:t>
      </w:r>
      <w:r>
        <w:rPr>
          <w:rFonts w:cs="宋体"/>
          <w:b w:val="0"/>
          <w:bCs/>
          <w:color w:val="000000" w:themeColor="text1"/>
          <w:sz w:val="21"/>
          <w:szCs w:val="21"/>
          <w:highlight w:val="none"/>
          <w14:textFill>
            <w14:solidFill>
              <w14:schemeClr w14:val="tx1"/>
            </w14:solidFill>
          </w14:textFill>
        </w:rPr>
        <w:t xml:space="preserve">4分，最高得12分。以荣誉证书发证或发文时间为准，发证时间与发文时间不一致的，以发文时间为准。</w:t>
      </w:r>
      <w:r/>
    </w:p>
    <w:p>
      <w:pPr>
        <w:pStyle w:val="1219"/>
        <w:ind w:firstLine="415"/>
        <w:rPr>
          <w:rFonts w:cs="宋体"/>
          <w:b w:val="0"/>
          <w:bCs/>
          <w:color w:val="000000" w:themeColor="text1"/>
          <w:sz w:val="21"/>
          <w:szCs w:val="21"/>
          <w:highlight w:val="none"/>
          <w14:textFill>
            <w14:solidFill>
              <w14:schemeClr w14:val="tx1"/>
            </w14:solidFill>
          </w14:textFill>
        </w:rPr>
      </w:pPr>
      <w:r>
        <w:rPr>
          <w:rFonts w:hint="eastAsia" w:cs="宋体"/>
          <w:b w:val="0"/>
          <w:bCs/>
          <w:color w:val="000000" w:themeColor="text1"/>
          <w:sz w:val="21"/>
          <w:szCs w:val="21"/>
          <w:highlight w:val="none"/>
          <w14:textFill>
            <w14:solidFill>
              <w14:schemeClr w14:val="tx1"/>
            </w14:solidFill>
          </w14:textFill>
        </w:rPr>
        <w:t xml:space="preserve">注：投标文件中提供证明文件的扫描件，未提供或提供不完整的不得分。</w:t>
      </w:r>
      <w:r/>
    </w:p>
    <w:p>
      <w:pPr>
        <w:pStyle w:val="1219"/>
        <w:ind w:firstLine="417"/>
        <w:rPr>
          <w:rFonts w:cs="宋体"/>
          <w:b w:val="0"/>
          <w:bCs/>
          <w:color w:val="000000" w:themeColor="text1"/>
          <w:sz w:val="21"/>
          <w:szCs w:val="21"/>
          <w:highlight w:val="none"/>
          <w14:textFill>
            <w14:solidFill>
              <w14:schemeClr w14:val="tx1"/>
            </w14:solidFill>
          </w14:textFill>
        </w:rPr>
      </w:pPr>
      <w:r>
        <w:rPr>
          <w:rFonts w:cs="宋体"/>
          <w:b/>
          <w:bCs w:val="0"/>
          <w:color w:val="000000" w:themeColor="text1"/>
          <w:sz w:val="21"/>
          <w:szCs w:val="21"/>
          <w:highlight w:val="none"/>
          <w14:textFill>
            <w14:solidFill>
              <w14:schemeClr w14:val="tx1"/>
            </w14:solidFill>
          </w14:textFill>
        </w:rPr>
        <w:t xml:space="preserve">5、投标人2021年（含）以后被县（区）级及以上政府部门评定为年度劳动保障信用（诚信）等级A级</w:t>
      </w:r>
      <w:r>
        <w:rPr>
          <w:rFonts w:hint="eastAsia" w:cs="宋体"/>
          <w:b/>
          <w:bCs w:val="0"/>
          <w:color w:val="000000" w:themeColor="text1"/>
          <w:sz w:val="21"/>
          <w:szCs w:val="21"/>
          <w:highlight w:val="none"/>
          <w14:textFill>
            <w14:solidFill>
              <w14:schemeClr w14:val="tx1"/>
            </w14:solidFill>
          </w14:textFill>
        </w:rPr>
        <w:t xml:space="preserve">的单位或获得县（区）级及以上政府部门颁发的类似年度劳动保障信用（诚信）表彰的</w:t>
      </w:r>
      <w:r>
        <w:rPr>
          <w:rFonts w:hint="eastAsia" w:cs="宋体"/>
          <w:b w:val="0"/>
          <w:bCs/>
          <w:color w:val="000000" w:themeColor="text1"/>
          <w:sz w:val="21"/>
          <w:szCs w:val="21"/>
          <w:highlight w:val="none"/>
          <w14:textFill>
            <w14:solidFill>
              <w14:schemeClr w14:val="tx1"/>
            </w14:solidFill>
          </w14:textFill>
        </w:rPr>
        <w:t xml:space="preserve">，每具有一项得</w:t>
      </w:r>
      <w:r>
        <w:rPr>
          <w:rFonts w:cs="宋体"/>
          <w:b w:val="0"/>
          <w:bCs/>
          <w:color w:val="000000" w:themeColor="text1"/>
          <w:sz w:val="21"/>
          <w:szCs w:val="21"/>
          <w:highlight w:val="none"/>
          <w14:textFill>
            <w14:solidFill>
              <w14:schemeClr w14:val="tx1"/>
            </w14:solidFill>
          </w14:textFill>
        </w:rPr>
        <w:t xml:space="preserve">3</w:t>
      </w:r>
      <w:r>
        <w:rPr>
          <w:rFonts w:hint="eastAsia" w:cs="宋体"/>
          <w:b w:val="0"/>
          <w:bCs/>
          <w:color w:val="000000" w:themeColor="text1"/>
          <w:sz w:val="21"/>
          <w:szCs w:val="21"/>
          <w:highlight w:val="none"/>
          <w14:textFill>
            <w14:solidFill>
              <w14:schemeClr w14:val="tx1"/>
            </w14:solidFill>
          </w14:textFill>
        </w:rPr>
        <w:t xml:space="preserve">分，最高得</w:t>
      </w:r>
      <w:r>
        <w:rPr>
          <w:rFonts w:cs="宋体"/>
          <w:b w:val="0"/>
          <w:bCs/>
          <w:color w:val="000000" w:themeColor="text1"/>
          <w:sz w:val="21"/>
          <w:szCs w:val="21"/>
          <w:highlight w:val="none"/>
          <w14:textFill>
            <w14:solidFill>
              <w14:schemeClr w14:val="tx1"/>
            </w14:solidFill>
          </w14:textFill>
        </w:rPr>
        <w:t xml:space="preserve">6</w:t>
      </w:r>
      <w:r>
        <w:rPr>
          <w:rFonts w:hint="eastAsia" w:cs="宋体"/>
          <w:b w:val="0"/>
          <w:bCs/>
          <w:color w:val="000000" w:themeColor="text1"/>
          <w:sz w:val="21"/>
          <w:szCs w:val="21"/>
          <w:highlight w:val="none"/>
          <w14:textFill>
            <w14:solidFill>
              <w14:schemeClr w14:val="tx1"/>
            </w14:solidFill>
          </w14:textFill>
        </w:rPr>
        <w:t xml:space="preserve">分。以证书发证或发文时间为准，发证时间与发文时间不一致的，以发文时间为准。注：投标文件中提供证明文件的扫描件，未提供或提供不完整的不得分。</w:t>
      </w:r>
      <w:r/>
    </w:p>
    <w:p>
      <w:pPr>
        <w:spacing w:line="360" w:lineRule="auto"/>
        <w:widowControl/>
        <w:rPr>
          <w:rFonts w:asciiTheme="minorEastAsia" w:hAnsiTheme="minorEastAsia" w:eastAsia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注：</w:t>
      </w:r>
      <w:r/>
    </w:p>
    <w:p>
      <w:pPr>
        <w:ind w:firstLine="420"/>
        <w:jc w:val="left"/>
        <w:spacing w:line="360" w:lineRule="auto"/>
        <w:widowControl/>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cs="宋体" w:asciiTheme="minorEastAsia" w:hAnsiTheme="minorEastAsia" w:eastAsiaTheme="minorEastAsia"/>
          <w:color w:val="000000" w:themeColor="text1"/>
          <w:sz w:val="21"/>
          <w:szCs w:val="21"/>
          <w:highlight w:val="none"/>
          <w14:textFill>
            <w14:solidFill>
              <w14:schemeClr w14:val="tx1"/>
            </w14:solidFill>
          </w14:textFill>
        </w:rPr>
        <w:t xml:space="preserve">1、报价超过采购预算的将不进入综合评审程序，也不得标。</w:t>
      </w:r>
      <w:r/>
    </w:p>
    <w:p>
      <w:pPr>
        <w:ind w:firstLine="420"/>
        <w:jc w:val="left"/>
        <w:spacing w:line="360" w:lineRule="auto"/>
        <w:widowControl/>
        <w:rPr>
          <w:rFonts w:cs="宋体" w:asciiTheme="minorEastAsia" w:hAnsiTheme="minorEastAsia" w:eastAsiaTheme="minorEastAsia"/>
          <w:color w:val="000000" w:themeColor="text1"/>
          <w:sz w:val="21"/>
          <w:szCs w:val="21"/>
          <w:highlight w:val="none"/>
          <w14:textFill>
            <w14:solidFill>
              <w14:schemeClr w14:val="tx1"/>
            </w14:solidFill>
          </w14:textFill>
        </w:rPr>
      </w:pPr>
      <w:r>
        <w:rPr>
          <w:rFonts w:cs="宋体" w:asciiTheme="minorEastAsia" w:hAnsiTheme="minorEastAsia" w:eastAsiaTheme="minorEastAsia"/>
          <w:color w:val="000000" w:themeColor="text1"/>
          <w:sz w:val="21"/>
          <w:szCs w:val="21"/>
          <w:highlight w:val="none"/>
          <w14:textFill>
            <w14:solidFill>
              <w14:schemeClr w14:val="tx1"/>
            </w14:solidFill>
          </w14:textFill>
        </w:rPr>
        <w:t xml:space="preserve">2、付款方式、服务期限如有负偏离的不得成交。</w:t>
      </w:r>
      <w:r/>
    </w:p>
    <w:p>
      <w:pPr>
        <w:ind w:firstLine="420"/>
        <w:spacing w:line="360" w:lineRule="auto"/>
        <w:widowControl/>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t xml:space="preserve">3</w:t>
      </w:r>
      <w:r>
        <w:rPr>
          <w:rFonts w:hint="eastAsia" w:cs="宋体" w:asciiTheme="minorEastAsia" w:hAnsiTheme="minorEastAsia" w:eastAsia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针对评分标准中评分的每一条，供应商均应提供相关资料并作出相应说明供评委评判，不提供相关资料的视为不具备该项得分的条件。</w:t>
      </w:r>
      <w:r/>
    </w:p>
    <w:p>
      <w:pPr>
        <w:ind w:firstLine="420"/>
        <w:spacing w:line="360" w:lineRule="auto"/>
        <w:widowControl/>
        <w:rPr>
          <w:rFonts w:asciiTheme="minorEastAsia" w:hAnsiTheme="minorEastAsia" w:eastAsiaTheme="minorEastAsia"/>
          <w:color w:val="000000" w:themeColor="text1"/>
          <w:sz w:val="21"/>
          <w:szCs w:val="21"/>
          <w:highlight w:val="none"/>
          <w14:textFill>
            <w14:solidFill>
              <w14:schemeClr w14:val="tx1"/>
            </w14:solidFill>
          </w14:textFill>
        </w:rPr>
      </w:pPr>
      <w:r>
        <w:rPr>
          <w:rFonts w:asciiTheme="minorEastAsia" w:hAnsiTheme="minorEastAsia" w:eastAsiaTheme="minorEastAsia"/>
          <w:color w:val="000000" w:themeColor="text1"/>
          <w:sz w:val="21"/>
          <w:szCs w:val="21"/>
          <w:highlight w:val="none"/>
          <w14:textFill>
            <w14:solidFill>
              <w14:schemeClr w14:val="tx1"/>
            </w14:solidFill>
          </w14:textFill>
        </w:rPr>
      </w:r>
      <w:r/>
    </w:p>
    <w:p>
      <w:p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（一）中、小企业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根据《政府采购促进中小企业发展管理办法》（财库〔</w:t>
      </w:r>
      <w:r>
        <w:rPr>
          <w:rFonts w:ascii="宋体" w:hAnsi="宋体" w:eastAsia="宋体" w:cs="宋体"/>
          <w:color w:val="000000" w:themeColor="text1"/>
          <w:sz w:val="21"/>
          <w:szCs w:val="21"/>
          <w:highlight w:val="none"/>
          <w14:textFill>
            <w14:solidFill>
              <w14:schemeClr w14:val="tx1"/>
            </w14:solidFill>
          </w14:textFill>
        </w:rPr>
        <w:t xml:space="preserve">2020〕46号）、《关于做好政府采购支持企业发展有关事项的通知》（苏财购〔2020〕52号）及《关于印发&lt;苏州市政府采购促进中小企业发展实施意见&gt;的通知》（苏财购〔2022〕16号）的相关规定：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1、本项目属于专门面向中小企业的项目。</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2、本项目采购标的对应的中小企业划分标准所属行业为</w:t>
      </w:r>
      <w:r>
        <w:rPr>
          <w:rFonts w:hint="eastAsia" w:ascii="宋体" w:hAnsi="宋体" w:eastAsia="宋体" w:cs="宋体"/>
          <w:b/>
          <w:bCs/>
          <w:color w:val="000000" w:themeColor="text1"/>
          <w:sz w:val="21"/>
          <w:szCs w:val="21"/>
          <w:highlight w:val="none"/>
          <w:u w:val="single"/>
          <w14:textFill>
            <w14:solidFill>
              <w14:schemeClr w14:val="tx1"/>
            </w14:solidFill>
          </w14:textFill>
        </w:rPr>
        <w:t xml:space="preserve">其他未列明行业</w:t>
      </w:r>
      <w:r>
        <w:rPr>
          <w:rFonts w:hint="eastAsia" w:ascii="宋体" w:hAnsi="宋体" w:eastAsia="宋体" w:cs="宋体"/>
          <w:color w:val="000000" w:themeColor="text1"/>
          <w:sz w:val="21"/>
          <w:szCs w:val="21"/>
          <w:highlight w:val="none"/>
          <w14:textFill>
            <w14:solidFill>
              <w14:schemeClr w14:val="tx1"/>
            </w14:solidFill>
          </w14:textFill>
        </w:rPr>
        <w:t xml:space="preserve">，承接服务的供应商应为中小微企业、监狱企业、残疾人福利性单位。</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中小微企业划型标准根据《中小企业划型标准规定》（工信部联企业【</w:t>
      </w:r>
      <w:r>
        <w:rPr>
          <w:rFonts w:ascii="宋体" w:hAnsi="宋体" w:eastAsia="宋体" w:cs="宋体"/>
          <w:color w:val="000000" w:themeColor="text1"/>
          <w:sz w:val="21"/>
          <w:szCs w:val="21"/>
          <w:highlight w:val="none"/>
          <w:lang w:val="zh-CN"/>
          <w14:textFill>
            <w14:solidFill>
              <w14:schemeClr w14:val="tx1"/>
            </w14:solidFill>
          </w14:textFill>
        </w:rPr>
        <w:t xml:space="preserve">2011】300号）</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（二）残疾人福利性单位</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根据《关于贯彻执行绿色采购、促进残疾人就业和支持监狱企业发展有关政策的通知（苏财购〔</w:t>
      </w:r>
      <w:r>
        <w:rPr>
          <w:rFonts w:ascii="宋体" w:hAnsi="宋体" w:eastAsia="宋体" w:cs="宋体"/>
          <w:color w:val="000000" w:themeColor="text1"/>
          <w:sz w:val="21"/>
          <w:szCs w:val="21"/>
          <w:highlight w:val="none"/>
          <w14:textFill>
            <w14:solidFill>
              <w14:schemeClr w14:val="tx1"/>
            </w14:solidFill>
          </w14:textFill>
        </w:rPr>
        <w:t xml:space="preserve">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（三）监狱企业</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根据苏财购【</w:t>
      </w:r>
      <w:r>
        <w:rPr>
          <w:rFonts w:ascii="宋体" w:hAnsi="宋体" w:eastAsia="宋体" w:cs="宋体"/>
          <w:color w:val="000000" w:themeColor="text1"/>
          <w:sz w:val="21"/>
          <w:szCs w:val="21"/>
          <w:highlight w:val="none"/>
          <w14:textFill>
            <w14:solidFill>
              <w14:schemeClr w14:val="tx1"/>
            </w14:solidFill>
          </w14:textFill>
        </w:rPr>
        <w:t xml:space="preserve">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numPr>
          <w:ilvl w:val="0"/>
          <w:numId w:val="3"/>
        </w:num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绿色采购</w:t>
      </w:r>
      <w:r/>
    </w:p>
    <w:p>
      <w:pPr>
        <w:ind w:firstLine="420"/>
        <w:jc w:val="left"/>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20"/>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（四）实施本国产品标准及相关政策</w:t>
      </w:r>
      <w:r/>
    </w:p>
    <w:p>
      <w:pPr>
        <w:ind w:firstLine="422"/>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t xml:space="preserve">4.1</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本项目为服务类项目，如提供服务中需提供货物，根据《国务院办公厅关于在政府采购中实施本国产品标准及相关政策的通知》（国办发（</w:t>
      </w:r>
      <w:r>
        <w:rPr>
          <w:rFonts w:ascii="宋体" w:hAnsi="宋体" w:eastAsia="宋体" w:cs="宋体"/>
          <w:b/>
          <w:bCs/>
          <w:color w:val="000000" w:themeColor="text1"/>
          <w:sz w:val="21"/>
          <w:szCs w:val="21"/>
          <w:highlight w:val="none"/>
          <w14:textFill>
            <w14:solidFill>
              <w14:schemeClr w14:val="tx1"/>
            </w14:solidFill>
          </w14:textFill>
        </w:rPr>
        <w:t xml:space="preserve">2025）34号）的规定，本项目对采购本国产品给予政策支持。</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4.2</w:t>
      </w:r>
      <w:r>
        <w:rPr>
          <w:rFonts w:hint="eastAsia" w:ascii="宋体" w:hAnsi="宋体" w:eastAsia="宋体" w:cs="宋体"/>
          <w:color w:val="000000" w:themeColor="text1"/>
          <w:sz w:val="21"/>
          <w:szCs w:val="2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4.3</w:t>
      </w:r>
      <w:r>
        <w:rPr>
          <w:rFonts w:hint="eastAsia" w:ascii="宋体" w:hAnsi="宋体" w:eastAsia="宋体" w:cs="宋体"/>
          <w:color w:val="000000" w:themeColor="text1"/>
          <w:sz w:val="21"/>
          <w:szCs w:val="21"/>
          <w:highlight w:val="none"/>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4.4</w:t>
      </w:r>
      <w:r>
        <w:rPr>
          <w:rFonts w:hint="eastAsia" w:ascii="宋体" w:hAnsi="宋体" w:eastAsia="宋体" w:cs="宋体"/>
          <w:color w:val="000000" w:themeColor="text1"/>
          <w:sz w:val="21"/>
          <w:szCs w:val="21"/>
          <w:highlight w:val="none"/>
          <w14:textFill>
            <w14:solidFill>
              <w14:schemeClr w14:val="tx1"/>
            </w14:solidFill>
          </w14:textFill>
        </w:rPr>
        <w:t xml:space="preserve">本项目政府采购活动中既有本国产品又有非本国产品参与竞争的，依法对本国产品给予价格评审优惠，对本国产品的报价给予</w:t>
      </w:r>
      <w:r>
        <w:rPr>
          <w:rFonts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color w:val="000000" w:themeColor="text1"/>
          <w:sz w:val="21"/>
          <w:szCs w:val="21"/>
          <w:highlight w:val="none"/>
          <w14:textFill>
            <w14:solidFill>
              <w14:schemeClr w14:val="tx1"/>
            </w14:solidFill>
          </w14:textFill>
        </w:rPr>
        <w:t xml:space="preserve">80%以上时（供应商需在“第三章 </w:t>
      </w:r>
      <w:r>
        <w:rPr>
          <w:rFonts w:hint="eastAsia" w:ascii="宋体" w:hAnsi="宋体" w:eastAsia="宋体" w:cs="宋体"/>
          <w:color w:val="000000" w:themeColor="text1"/>
          <w:sz w:val="21"/>
          <w:szCs w:val="21"/>
          <w:highlight w:val="none"/>
          <w14:textFill>
            <w14:solidFill>
              <w14:schemeClr w14:val="tx1"/>
            </w14:solidFill>
          </w14:textFill>
        </w:rPr>
        <w:t xml:space="preserve">投标文件格式”的“投标报价明细表”中填写比例数值），依法对该供应商提供的全部产品给予价格评审优惠，即对该供应商提供的全部产品的总报价给予</w:t>
      </w:r>
      <w:r>
        <w:rPr>
          <w:rFonts w:ascii="宋体" w:hAnsi="宋体" w:eastAsia="宋体" w:cs="宋体"/>
          <w:color w:val="000000" w:themeColor="text1"/>
          <w:sz w:val="21"/>
          <w:szCs w:val="21"/>
          <w:highlight w:val="none"/>
          <w:u w:val="single"/>
          <w14:textFill>
            <w14:solidFill>
              <w14:schemeClr w14:val="tx1"/>
            </w14:solidFill>
          </w14:textFill>
        </w:rPr>
        <w:t xml:space="preserve">20%</w:t>
      </w:r>
      <w:r>
        <w:rPr>
          <w:rFonts w:hint="eastAsia" w:ascii="宋体" w:hAnsi="宋体" w:eastAsia="宋体" w:cs="宋体"/>
          <w:color w:val="000000" w:themeColor="text1"/>
          <w:sz w:val="21"/>
          <w:szCs w:val="21"/>
          <w:highlight w:val="none"/>
          <w14:textFill>
            <w14:solidFill>
              <w14:schemeClr w14:val="tx1"/>
            </w14:solidFill>
          </w14:textFill>
        </w:rPr>
        <w:t xml:space="preserve">的价格扣除，用扣除后的价格参与评审。</w:t>
      </w:r>
      <w:r>
        <w:rPr>
          <w:rFonts w:hint="eastAsia" w:ascii="宋体" w:hAnsi="宋体" w:eastAsia="宋体" w:cs="宋体"/>
          <w:b/>
          <w:bCs/>
          <w:color w:val="000000" w:themeColor="text1"/>
          <w:sz w:val="21"/>
          <w:szCs w:val="21"/>
          <w:highlight w:val="none"/>
          <w14:textFill>
            <w14:solidFill>
              <w14:schemeClr w14:val="tx1"/>
            </w14:solidFill>
          </w14:textFill>
        </w:rPr>
        <w:t xml:space="preserve">供应商未填写比例数值，或比例数值未达到</w:t>
      </w:r>
      <w:r>
        <w:rPr>
          <w:rFonts w:ascii="宋体" w:hAnsi="宋体" w:eastAsia="宋体" w:cs="宋体"/>
          <w:b/>
          <w:bCs/>
          <w:color w:val="000000" w:themeColor="text1"/>
          <w:sz w:val="21"/>
          <w:szCs w:val="21"/>
          <w:highlight w:val="none"/>
          <w:u w:val="single"/>
          <w14:textFill>
            <w14:solidFill>
              <w14:schemeClr w14:val="tx1"/>
            </w14:solidFill>
          </w14:textFill>
        </w:rPr>
        <w:t xml:space="preserve">80%</w:t>
      </w:r>
      <w:r>
        <w:rPr>
          <w:rFonts w:hint="eastAsia" w:ascii="宋体" w:hAnsi="宋体" w:eastAsia="宋体" w:cs="宋体"/>
          <w:b/>
          <w:bCs/>
          <w:color w:val="000000" w:themeColor="text1"/>
          <w:sz w:val="21"/>
          <w:szCs w:val="21"/>
          <w:highlight w:val="none"/>
          <w14:textFill>
            <w14:solidFill>
              <w14:schemeClr w14:val="tx1"/>
            </w14:solidFill>
          </w14:textFill>
        </w:rPr>
        <w:t xml:space="preserve">的，</w:t>
      </w:r>
      <w:r>
        <w:rPr>
          <w:rFonts w:hint="eastAsia" w:ascii="宋体" w:hAnsi="宋体" w:eastAsia="宋体" w:cs="宋体"/>
          <w:b/>
          <w:color w:val="000000" w:themeColor="text1"/>
          <w:sz w:val="21"/>
          <w:szCs w:val="21"/>
          <w:highlight w:val="none"/>
          <w14:textFill>
            <w14:solidFill>
              <w14:schemeClr w14:val="tx1"/>
            </w14:solidFill>
          </w14:textFill>
        </w:rPr>
        <w:t xml:space="preserve">将不享受本国产品价格评审优惠。</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4.5</w:t>
      </w:r>
      <w:r>
        <w:rPr>
          <w:rFonts w:hint="eastAsia" w:ascii="宋体" w:hAnsi="宋体" w:eastAsia="宋体" w:cs="宋体"/>
          <w:color w:val="000000" w:themeColor="text1"/>
          <w:sz w:val="21"/>
          <w:szCs w:val="21"/>
          <w:highlight w:val="none"/>
          <w14:textFill>
            <w14:solidFill>
              <w14:schemeClr w14:val="tx1"/>
            </w14:solidFill>
          </w14:textFill>
        </w:rPr>
        <w:t xml:space="preserve">供应商需按照招标文件的要求提供《关于符合本国产品标准的声明函》（以下简称《声明函》）或财政部会同有关部门规定的有关证明文件的，</w:t>
      </w:r>
      <w:r>
        <w:rPr>
          <w:rFonts w:hint="eastAsia" w:ascii="宋体" w:hAnsi="宋体" w:eastAsia="宋体" w:cs="宋体"/>
          <w:b/>
          <w:color w:val="000000" w:themeColor="text1"/>
          <w:sz w:val="21"/>
          <w:szCs w:val="21"/>
          <w:highlight w:val="none"/>
          <w14:textFill>
            <w14:solidFill>
              <w14:schemeClr w14:val="tx1"/>
            </w14:solidFill>
          </w14:textFill>
        </w:rPr>
        <w:t xml:space="preserve">如不提供或提供不符要求的将不享受本国产品价格评审优惠。</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4.6</w:t>
      </w:r>
      <w:r>
        <w:rPr>
          <w:rFonts w:hint="eastAsia" w:ascii="宋体" w:hAnsi="宋体" w:eastAsia="宋体" w:cs="宋体"/>
          <w:color w:val="000000" w:themeColor="text1"/>
          <w:sz w:val="21"/>
          <w:szCs w:val="21"/>
          <w:highlight w:val="none"/>
          <w14:textFill>
            <w14:solidFill>
              <w14:schemeClr w14:val="tx1"/>
            </w14:solidFill>
          </w14:textFill>
        </w:rPr>
        <w:t xml:space="preserve">供应商需在《声明函》中逐一、准确填写产品名称、厂名、生产厂址三项信息（《声明函》中用斜线划除的地方无需填写），</w:t>
      </w:r>
      <w:r>
        <w:rPr>
          <w:rFonts w:hint="eastAsia" w:ascii="宋体" w:hAnsi="宋体" w:eastAsia="宋体" w:cs="宋体"/>
          <w:b/>
          <w:color w:val="000000" w:themeColor="text1"/>
          <w:sz w:val="21"/>
          <w:szCs w:val="21"/>
          <w:highlight w:val="none"/>
          <w14:textFill>
            <w14:solidFill>
              <w14:schemeClr w14:val="tx1"/>
            </w14:solidFill>
          </w14:textFill>
        </w:rPr>
        <w:t xml:space="preserve">三项信息中任意一项未填写的视为该项产品不符合本国产品标准，不享受本国产品价格评审优惠。</w:t>
      </w:r>
      <w:r/>
    </w:p>
    <w:p>
      <w:pPr>
        <w:ind w:firstLine="420"/>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t xml:space="preserve">4.7</w:t>
      </w:r>
      <w:r>
        <w:rPr>
          <w:rFonts w:hint="eastAsia" w:ascii="宋体" w:hAnsi="宋体" w:eastAsia="宋体" w:cs="宋体"/>
          <w:color w:val="000000" w:themeColor="text1"/>
          <w:sz w:val="21"/>
          <w:szCs w:val="21"/>
          <w:highlight w:val="none"/>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宋体" w:hAnsi="宋体" w:eastAsia="宋体" w:cs="宋体"/>
          <w:color w:val="000000" w:themeColor="text1"/>
          <w:sz w:val="21"/>
          <w:szCs w:val="21"/>
          <w:highlight w:val="none"/>
          <w14:textFill>
            <w14:solidFill>
              <w14:schemeClr w14:val="tx1"/>
            </w14:solidFill>
          </w14:textFill>
        </w:rPr>
        <w:t xml:space="preserve">2025〕34号）和招标文件规定的，</w:t>
      </w:r>
      <w:r>
        <w:rPr>
          <w:rFonts w:hint="eastAsia" w:ascii="宋体" w:hAnsi="宋体" w:eastAsia="宋体" w:cs="宋体"/>
          <w:b/>
          <w:color w:val="000000" w:themeColor="text1"/>
          <w:sz w:val="21"/>
          <w:szCs w:val="21"/>
          <w:highlight w:val="none"/>
          <w14:textFill>
            <w14:solidFill>
              <w14:schemeClr w14:val="tx1"/>
            </w14:solidFill>
          </w14:textFill>
        </w:rPr>
        <w:t xml:space="preserve">供应商提供的相关产品视为不符合本国产品标准。</w:t>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ind w:firstLine="420"/>
        <w:spacing w:line="360" w:lineRule="auto"/>
        <w:rPr>
          <w:rFonts w:ascii="宋体" w:hAnsi="宋体" w:eastAsia="宋体" w:cs="宋体"/>
          <w:b/>
          <w:color w:val="000000" w:themeColor="text1"/>
          <w:sz w:val="24"/>
          <w:szCs w:val="24"/>
          <w:highlight w:val="none"/>
          <w14:textFill>
            <w14:solidFill>
              <w14:schemeClr w14:val="tx1"/>
            </w14:solidFill>
          </w14:textFill>
        </w:rPr>
      </w:pPr>
      <w:r>
        <w:rPr>
          <w:rFonts w:ascii="宋体" w:hAnsi="宋体" w:eastAsia="宋体" w:cs="宋体"/>
          <w:b/>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4"/>
        </w:numPr>
        <w:jc w:val="center"/>
        <w:keepLines/>
        <w:keepNext/>
        <w:spacing w:before="340" w:after="330" w:line="360" w:lineRule="auto"/>
        <w:rPr>
          <w:rFonts w:ascii="宋体" w:hAnsi="宋体" w:eastAsia="宋体"/>
          <w:b/>
          <w:color w:val="000000" w:themeColor="text1"/>
          <w:sz w:val="52"/>
          <w:highlight w:val="none"/>
          <w:shd w:val="clear" w:color="auto" w:fill="ffffff"/>
          <w14:textFill>
            <w14:solidFill>
              <w14:schemeClr w14:val="tx1"/>
            </w14:solidFill>
          </w14:textFill>
        </w:rPr>
        <w:outlineLvl w:val="0"/>
      </w:pPr>
      <w:r>
        <w:rPr>
          <w:rFonts w:hint="eastAsia" w:ascii="宋体" w:hAnsi="宋体" w:eastAsia="宋体"/>
          <w:b/>
          <w:color w:val="000000" w:themeColor="text1"/>
          <w:sz w:val="52"/>
          <w:highlight w:val="none"/>
          <w:shd w:val="clear" w:color="auto" w:fill="ffffff"/>
          <w14:textFill>
            <w14:solidFill>
              <w14:schemeClr w14:val="tx1"/>
            </w14:solidFill>
          </w14:textFill>
        </w:rPr>
        <w:t xml:space="preserve">附件</w:t>
      </w:r>
      <w:r/>
    </w:p>
    <w:p>
      <w:pPr>
        <w:pStyle w:val="1156"/>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56"/>
        <w:ind w:firstLine="420"/>
        <w:rPr>
          <w:rFonts w:hAnsi="宋体" w:cs="宋体"/>
          <w:color w:val="000000" w:themeColor="text1"/>
          <w:highlight w:val="none"/>
          <w14:textFill>
            <w14:solidFill>
              <w14:schemeClr w14:val="tx1"/>
            </w14:solidFill>
          </w14:textFill>
        </w:rPr>
      </w:pPr>
      <w:r>
        <w:rPr>
          <w:rFonts w:hAnsi="宋体" w:cs="宋体"/>
          <w:color w:val="000000" w:themeColor="text1"/>
          <w:highlight w:val="none"/>
          <w14:textFill>
            <w14:solidFill>
              <w14:schemeClr w14:val="tx1"/>
            </w14:solidFill>
          </w14:textFill>
        </w:rPr>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附件一《作业清单》</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附件二《2026年园区抑尘服务项目信息一览表》</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附件三《机械化作业管理要求》</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附件四《项目组配置及岗位要求》</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附件五《管理信息系统要求》</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附件六《作业安全文明规范及乙方管理责任》</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附件七《商业险种》</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附件八《作业工具及服装图集》</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附件九《防暑降温物品要求》</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附件十《环卫信息化设备要求》</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附件十一《车辆主动安全识别监控要求》</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附件十二《考核办法》</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附件十三《竣工验收鉴定书》</w:t>
      </w:r>
      <w:r/>
    </w:p>
    <w:p>
      <w:pPr>
        <w:ind w:right="480"/>
        <w:jc w:val="left"/>
        <w:spacing w:line="360" w:lineRule="auto"/>
        <w:rPr>
          <w:rFonts w:ascii="宋体" w:hAnsi="宋体" w:eastAsia="宋体" w:cs="宋体"/>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000000" w:themeColor="text1"/>
          <w:sz w:val="24"/>
          <w:highlight w:val="none"/>
          <w:shd w:val="clear" w:color="auto" w:fill="ffffff"/>
          <w14:textFill>
            <w14:solidFill>
              <w14:schemeClr w14:val="tx1"/>
            </w14:solidFill>
          </w14:textFill>
        </w:rPr>
        <w:t xml:space="preserve">附件十四《履约保函》</w:t>
      </w:r>
      <w:r/>
    </w:p>
    <w:p>
      <w:pPr>
        <w:pStyle w:val="1156"/>
        <w:ind w:firstLine="480"/>
        <w:jc w:val="center"/>
        <w:rPr>
          <w:rFonts w:hAnsi="宋体" w:cs="宋体"/>
          <w:color w:val="000000" w:themeColor="text1"/>
          <w:sz w:val="24"/>
          <w:highlight w:val="none"/>
          <w:shd w:val="clear" w:color="auto" w:fill="ffffff"/>
          <w14:textFill>
            <w14:solidFill>
              <w14:schemeClr w14:val="tx1"/>
            </w14:solidFill>
          </w14:textFill>
        </w:rPr>
      </w:pPr>
      <w:r>
        <w:rPr>
          <w:rFonts w:hAnsi="宋体" w:cs="宋体"/>
          <w:color w:val="000000" w:themeColor="text1"/>
          <w:sz w:val="24"/>
          <w:highlight w:val="none"/>
          <w:shd w:val="clear" w:color="auto" w:fill="ffffff"/>
          <w14:textFill>
            <w14:solidFill>
              <w14:schemeClr w14:val="tx1"/>
            </w14:solidFill>
          </w14:textFill>
        </w:rPr>
      </w:r>
      <w:r/>
    </w:p>
    <w:p>
      <w:pPr>
        <w:ind w:right="480"/>
        <w:spacing w:line="360" w:lineRule="auto"/>
        <w:rPr>
          <w:rFonts w:hint="eastAsia" w:cs="宋体" w:asciiTheme="minorEastAsia" w:hAnsiTheme="minorEastAsia" w:eastAsiaTheme="minorEastAsia"/>
          <w:b/>
          <w:bCs/>
          <w:color w:val="000000" w:themeColor="text1"/>
          <w:sz w:val="21"/>
          <w:szCs w:val="21"/>
          <w:highlight w:val="none"/>
          <w14:textFill>
            <w14:solidFill>
              <w14:schemeClr w14:val="tx1"/>
            </w14:solidFill>
          </w14:textFill>
        </w:rPr>
      </w:pPr>
      <w:r>
        <w:rPr>
          <w:rFonts w:hint="eastAsia" w:cs="宋体" w:asciiTheme="minorEastAsia" w:hAnsiTheme="minorEastAsia" w:eastAsiaTheme="minorEastAsia"/>
          <w:b/>
          <w:bCs/>
          <w:color w:val="000000" w:themeColor="text1"/>
          <w:sz w:val="21"/>
          <w:szCs w:val="21"/>
          <w:highlight w:val="none"/>
          <w14:textFill>
            <w14:solidFill>
              <w14:schemeClr w14:val="tx1"/>
            </w14:solidFill>
          </w14:textFill>
        </w:rPr>
        <w:t xml:space="preserve">注：以上附件下载链接: https://pan.baidu.com/s/15FpFnwf1iOGiTZhWtg5_rw 提取码: xd5u</w:t>
      </w:r>
      <w:r/>
    </w:p>
    <w:p>
      <w:pPr>
        <w:spacing w:before="45" w:after="45" w:line="360" w:lineRule="auto"/>
        <w:widowControl/>
        <w:tabs>
          <w:tab w:val="left" w:pos="1430" w:leader="none"/>
        </w:tabs>
        <w:rPr>
          <w:rFonts w:ascii="Arial" w:hAnsi="Arial" w:eastAsia="Arial" w:cs="Arial"/>
          <w:color w:val="000000" w:themeColor="text1"/>
          <w:sz w:val="21"/>
          <w:szCs w:val="21"/>
          <w:highlight w:val="none"/>
          <w:shd w:val="clear" w:color="auto" w:fill="ffffff"/>
          <w14:textFill>
            <w14:solidFill>
              <w14:schemeClr w14:val="tx1"/>
            </w14:solidFill>
          </w14:textFill>
        </w:rPr>
      </w:pPr>
      <w:r>
        <w:rPr>
          <w:rFonts w:ascii="Arial" w:hAnsi="Arial" w:eastAsia="Arial" w:cs="Arial"/>
          <w:color w:val="000000" w:themeColor="text1"/>
          <w:sz w:val="21"/>
          <w:szCs w:val="21"/>
          <w:highlight w:val="none"/>
          <w:shd w:val="clear" w:color="auto" w:fill="ffffff"/>
          <w14:textFill>
            <w14:solidFill>
              <w14:schemeClr w14:val="tx1"/>
            </w14:solidFill>
          </w14:textFill>
        </w:rPr>
      </w:r>
      <w:r/>
    </w:p>
    <w:p>
      <w:pPr>
        <w:ind w:firstLine="42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right="960"/>
        <w:spacing w:line="360" w:lineRule="auto"/>
        <w:rPr>
          <w:rFonts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（全文完）</w:t>
      </w:r>
      <w:r/>
    </w:p>
    <w:sectPr>
      <w:headerReference w:type="default" r:id="rId12"/>
      <w:headerReference w:type="first" r:id="rId13"/>
      <w:footerReference w:type="default" r:id="rId19"/>
      <w:footerReference w:type="even" r:id="rId20"/>
      <w:footerReference w:type="first" r:id="rId21"/>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ヒラギノ角ゴ Pro W3">
    <w:panose1 w:val="020B0503020202020204"/>
  </w:font>
  <w:font w:name="Calibri">
    <w:panose1 w:val="020F0502020204030204"/>
  </w:font>
  <w:font w:name="微软雅黑">
    <w:panose1 w:val="020B0503020204020204"/>
  </w:font>
  <w:font w:name="方正仿宋简体">
    <w:panose1 w:val="020B0503020202020204"/>
  </w:font>
  <w:font w:name="宋体糭.飬..">
    <w:panose1 w:val="02010600030101010101"/>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Microsoft YaHei UI">
    <w:panose1 w:val="020B0503020204020204"/>
  </w:font>
  <w:font w:name="创艺简仿宋">
    <w:panose1 w:val="020B0503020202020204"/>
  </w:font>
  <w:font w:name="Arial">
    <w:panose1 w:val="020B0604020202020204"/>
  </w:font>
  <w:font w:name="宋体">
    <w:panose1 w:val="02010600030101010101"/>
  </w:font>
  <w:font w:name="Microsoft JhengHei">
    <w:panose1 w:val="020B0604030504040204"/>
  </w:font>
  <w:font w:name="Times New Roman">
    <w:panose1 w:val="02020603050405020304"/>
  </w:font>
  <w:font w:name="@楷体_GB2312">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420"/>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420"/>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5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p>
    <w:pPr>
      <w:pStyle w:val="1139"/>
      <w:ind w:right="360" w:firstLine="360"/>
    </w:pPr>
    <w:r/>
    <w:r/>
  </w:p>
  <w:p>
    <w:pPr>
      <w:ind w:firstLine="520"/>
    </w:pPr>
    <w:r/>
    <w:r/>
  </w:p>
  <w:p>
    <w:pPr>
      <w:ind w:firstLine="5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rPr>
        <w:rStyle w:val="1153"/>
      </w:rPr>
      <w:framePr w:wrap="around" w:vAnchor="text" w:hAnchor="margin" w:xAlign="outside" w:y="1"/>
    </w:pPr>
    <w:r>
      <w:rPr>
        <w:rStyle w:val="1153"/>
      </w:rPr>
      <w:fldChar w:fldCharType="begin"/>
    </w:r>
    <w:r>
      <w:rPr>
        <w:rStyle w:val="1153"/>
      </w:rPr>
      <w:instrText xml:space="preserve">PAGE  </w:instrText>
    </w:r>
    <w:r>
      <w:rPr>
        <w:rStyle w:val="1153"/>
      </w:rPr>
      <w:fldChar w:fldCharType="end"/>
    </w:r>
    <w:r/>
  </w:p>
  <w:p>
    <w:pPr>
      <w:pStyle w:val="1139"/>
      <w:ind w:right="360" w:firstLine="360"/>
    </w:pPr>
    <w:r/>
    <w:r/>
  </w:p>
  <w:p>
    <w:pPr>
      <w:ind w:firstLine="520"/>
    </w:pPr>
    <w:r/>
    <w:r/>
  </w:p>
  <w:p>
    <w:pPr>
      <w:ind w:firstLine="52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9"/>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9"/>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520"/>
      <w:pBdr>
        <w:bottom w:val="none" w:color="auto" w:sz="0" w:space="0"/>
      </w:pBdr>
    </w:pPr>
    <w:r/>
    <w:r/>
  </w:p>
  <w:p>
    <w:pPr>
      <w:ind w:firstLine="520"/>
    </w:pPr>
    <w:r/>
    <w:r/>
  </w:p>
  <w:p>
    <w:pPr>
      <w:ind w:firstLine="5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6">
    <w:name w:val="Heading 1 Char"/>
    <w:basedOn w:val="1125"/>
    <w:link w:val="1121"/>
    <w:uiPriority w:val="9"/>
    <w:rPr>
      <w:rFonts w:ascii="Arial" w:hAnsi="Arial" w:eastAsia="Arial" w:cs="Arial"/>
      <w:sz w:val="40"/>
      <w:szCs w:val="40"/>
    </w:rPr>
  </w:style>
  <w:style w:type="character" w:styleId="957">
    <w:name w:val="Heading 2 Char"/>
    <w:basedOn w:val="1125"/>
    <w:link w:val="1122"/>
    <w:uiPriority w:val="9"/>
    <w:rPr>
      <w:rFonts w:ascii="Arial" w:hAnsi="Arial" w:eastAsia="Arial" w:cs="Arial"/>
      <w:sz w:val="34"/>
    </w:rPr>
  </w:style>
  <w:style w:type="character" w:styleId="958">
    <w:name w:val="Heading 3 Char"/>
    <w:basedOn w:val="1125"/>
    <w:link w:val="1123"/>
    <w:uiPriority w:val="9"/>
    <w:rPr>
      <w:rFonts w:ascii="Arial" w:hAnsi="Arial" w:eastAsia="Arial" w:cs="Arial"/>
      <w:sz w:val="30"/>
      <w:szCs w:val="30"/>
    </w:rPr>
  </w:style>
  <w:style w:type="character" w:styleId="959">
    <w:name w:val="Heading 4 Char"/>
    <w:basedOn w:val="1125"/>
    <w:link w:val="1124"/>
    <w:uiPriority w:val="9"/>
    <w:rPr>
      <w:rFonts w:ascii="Arial" w:hAnsi="Arial" w:eastAsia="Arial" w:cs="Arial"/>
      <w:b/>
      <w:bCs/>
      <w:sz w:val="26"/>
      <w:szCs w:val="26"/>
    </w:rPr>
  </w:style>
  <w:style w:type="paragraph" w:styleId="960">
    <w:name w:val="Heading 5"/>
    <w:basedOn w:val="1120"/>
    <w:next w:val="1120"/>
    <w:link w:val="961"/>
    <w:uiPriority w:val="9"/>
    <w:unhideWhenUsed/>
    <w:qFormat/>
    <w:pPr>
      <w:keepLines/>
      <w:keepNext/>
      <w:spacing w:before="320" w:after="200"/>
      <w:outlineLvl w:val="4"/>
    </w:pPr>
    <w:rPr>
      <w:rFonts w:ascii="Arial" w:hAnsi="Arial" w:eastAsia="Arial" w:cs="Arial"/>
      <w:b/>
      <w:bCs/>
      <w:sz w:val="24"/>
      <w:szCs w:val="24"/>
    </w:rPr>
  </w:style>
  <w:style w:type="character" w:styleId="961">
    <w:name w:val="Heading 5 Char"/>
    <w:basedOn w:val="1125"/>
    <w:link w:val="960"/>
    <w:uiPriority w:val="9"/>
    <w:rPr>
      <w:rFonts w:ascii="Arial" w:hAnsi="Arial" w:eastAsia="Arial" w:cs="Arial"/>
      <w:b/>
      <w:bCs/>
      <w:sz w:val="24"/>
      <w:szCs w:val="24"/>
    </w:rPr>
  </w:style>
  <w:style w:type="paragraph" w:styleId="962">
    <w:name w:val="Heading 6"/>
    <w:basedOn w:val="1120"/>
    <w:next w:val="1120"/>
    <w:link w:val="963"/>
    <w:uiPriority w:val="9"/>
    <w:unhideWhenUsed/>
    <w:qFormat/>
    <w:pPr>
      <w:keepLines/>
      <w:keepNext/>
      <w:spacing w:before="320" w:after="200"/>
      <w:outlineLvl w:val="5"/>
    </w:pPr>
    <w:rPr>
      <w:rFonts w:ascii="Arial" w:hAnsi="Arial" w:eastAsia="Arial" w:cs="Arial"/>
      <w:b/>
      <w:bCs/>
      <w:sz w:val="22"/>
      <w:szCs w:val="22"/>
    </w:rPr>
  </w:style>
  <w:style w:type="character" w:styleId="963">
    <w:name w:val="Heading 6 Char"/>
    <w:basedOn w:val="1125"/>
    <w:link w:val="962"/>
    <w:uiPriority w:val="9"/>
    <w:rPr>
      <w:rFonts w:ascii="Arial" w:hAnsi="Arial" w:eastAsia="Arial" w:cs="Arial"/>
      <w:b/>
      <w:bCs/>
      <w:sz w:val="22"/>
      <w:szCs w:val="22"/>
    </w:rPr>
  </w:style>
  <w:style w:type="paragraph" w:styleId="964">
    <w:name w:val="Heading 7"/>
    <w:basedOn w:val="1120"/>
    <w:next w:val="1120"/>
    <w:link w:val="965"/>
    <w:uiPriority w:val="9"/>
    <w:unhideWhenUsed/>
    <w:qFormat/>
    <w:pPr>
      <w:keepLines/>
      <w:keepNext/>
      <w:spacing w:before="320" w:after="200"/>
      <w:outlineLvl w:val="6"/>
    </w:pPr>
    <w:rPr>
      <w:rFonts w:ascii="Arial" w:hAnsi="Arial" w:eastAsia="Arial" w:cs="Arial"/>
      <w:b/>
      <w:bCs/>
      <w:i/>
      <w:iCs/>
      <w:sz w:val="22"/>
      <w:szCs w:val="22"/>
    </w:rPr>
  </w:style>
  <w:style w:type="character" w:styleId="965">
    <w:name w:val="Heading 7 Char"/>
    <w:basedOn w:val="1125"/>
    <w:link w:val="964"/>
    <w:uiPriority w:val="9"/>
    <w:rPr>
      <w:rFonts w:ascii="Arial" w:hAnsi="Arial" w:eastAsia="Arial" w:cs="Arial"/>
      <w:b/>
      <w:bCs/>
      <w:i/>
      <w:iCs/>
      <w:sz w:val="22"/>
      <w:szCs w:val="22"/>
    </w:rPr>
  </w:style>
  <w:style w:type="paragraph" w:styleId="966">
    <w:name w:val="Heading 8"/>
    <w:basedOn w:val="1120"/>
    <w:next w:val="1120"/>
    <w:link w:val="967"/>
    <w:uiPriority w:val="9"/>
    <w:unhideWhenUsed/>
    <w:qFormat/>
    <w:pPr>
      <w:keepLines/>
      <w:keepNext/>
      <w:spacing w:before="320" w:after="200"/>
      <w:outlineLvl w:val="7"/>
    </w:pPr>
    <w:rPr>
      <w:rFonts w:ascii="Arial" w:hAnsi="Arial" w:eastAsia="Arial" w:cs="Arial"/>
      <w:i/>
      <w:iCs/>
      <w:sz w:val="22"/>
      <w:szCs w:val="22"/>
    </w:rPr>
  </w:style>
  <w:style w:type="character" w:styleId="967">
    <w:name w:val="Heading 8 Char"/>
    <w:basedOn w:val="1125"/>
    <w:link w:val="966"/>
    <w:uiPriority w:val="9"/>
    <w:rPr>
      <w:rFonts w:ascii="Arial" w:hAnsi="Arial" w:eastAsia="Arial" w:cs="Arial"/>
      <w:i/>
      <w:iCs/>
      <w:sz w:val="22"/>
      <w:szCs w:val="22"/>
    </w:rPr>
  </w:style>
  <w:style w:type="paragraph" w:styleId="968">
    <w:name w:val="Heading 9"/>
    <w:basedOn w:val="1120"/>
    <w:next w:val="1120"/>
    <w:link w:val="969"/>
    <w:uiPriority w:val="9"/>
    <w:unhideWhenUsed/>
    <w:qFormat/>
    <w:pPr>
      <w:keepLines/>
      <w:keepNext/>
      <w:spacing w:before="320" w:after="200"/>
      <w:outlineLvl w:val="8"/>
    </w:pPr>
    <w:rPr>
      <w:rFonts w:ascii="Arial" w:hAnsi="Arial" w:eastAsia="Arial" w:cs="Arial"/>
      <w:i/>
      <w:iCs/>
      <w:sz w:val="21"/>
      <w:szCs w:val="21"/>
    </w:rPr>
  </w:style>
  <w:style w:type="character" w:styleId="969">
    <w:name w:val="Heading 9 Char"/>
    <w:basedOn w:val="1125"/>
    <w:link w:val="968"/>
    <w:uiPriority w:val="9"/>
    <w:rPr>
      <w:rFonts w:ascii="Arial" w:hAnsi="Arial" w:eastAsia="Arial" w:cs="Arial"/>
      <w:i/>
      <w:iCs/>
      <w:sz w:val="21"/>
      <w:szCs w:val="21"/>
    </w:rPr>
  </w:style>
  <w:style w:type="character" w:styleId="970">
    <w:name w:val="Title Char"/>
    <w:basedOn w:val="1125"/>
    <w:link w:val="1148"/>
    <w:uiPriority w:val="10"/>
    <w:rPr>
      <w:sz w:val="48"/>
      <w:szCs w:val="48"/>
    </w:rPr>
  </w:style>
  <w:style w:type="character" w:styleId="971">
    <w:name w:val="Subtitle Char"/>
    <w:basedOn w:val="1125"/>
    <w:link w:val="1143"/>
    <w:uiPriority w:val="11"/>
    <w:rPr>
      <w:sz w:val="24"/>
      <w:szCs w:val="24"/>
    </w:rPr>
  </w:style>
  <w:style w:type="paragraph" w:styleId="972">
    <w:name w:val="Quote"/>
    <w:basedOn w:val="1120"/>
    <w:next w:val="1120"/>
    <w:link w:val="973"/>
    <w:uiPriority w:val="29"/>
    <w:qFormat/>
    <w:pPr>
      <w:ind w:left="720" w:right="720"/>
    </w:pPr>
    <w:rPr>
      <w:i/>
    </w:rPr>
  </w:style>
  <w:style w:type="character" w:styleId="973">
    <w:name w:val="Quote Char"/>
    <w:link w:val="972"/>
    <w:uiPriority w:val="29"/>
    <w:rPr>
      <w:i/>
    </w:rPr>
  </w:style>
  <w:style w:type="paragraph" w:styleId="974">
    <w:name w:val="Intense Quote"/>
    <w:basedOn w:val="1120"/>
    <w:next w:val="1120"/>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character" w:styleId="976">
    <w:name w:val="Header Char"/>
    <w:basedOn w:val="1125"/>
    <w:link w:val="1141"/>
    <w:uiPriority w:val="99"/>
  </w:style>
  <w:style w:type="character" w:styleId="977">
    <w:name w:val="Footer Char"/>
    <w:basedOn w:val="1125"/>
    <w:link w:val="1139"/>
    <w:uiPriority w:val="99"/>
  </w:style>
  <w:style w:type="paragraph" w:styleId="978">
    <w:name w:val="Caption"/>
    <w:basedOn w:val="1120"/>
    <w:next w:val="1120"/>
    <w:uiPriority w:val="35"/>
    <w:semiHidden/>
    <w:unhideWhenUsed/>
    <w:qFormat/>
    <w:pPr>
      <w:spacing w:line="276" w:lineRule="auto"/>
    </w:pPr>
    <w:rPr>
      <w:b/>
      <w:bCs/>
      <w:color w:val="4f81bd" w:themeColor="accent1"/>
      <w:sz w:val="18"/>
      <w:szCs w:val="18"/>
    </w:rPr>
  </w:style>
  <w:style w:type="character" w:styleId="979">
    <w:name w:val="Caption Char"/>
    <w:basedOn w:val="978"/>
    <w:link w:val="1139"/>
    <w:uiPriority w:val="99"/>
  </w:style>
  <w:style w:type="table" w:styleId="980">
    <w:name w:val="Table Grid Light"/>
    <w:basedOn w:val="11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1">
    <w:name w:val="Plain Table 1"/>
    <w:basedOn w:val="11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2">
    <w:name w:val="Plain Table 2"/>
    <w:basedOn w:val="11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3">
    <w:name w:val="Plain Table 3"/>
    <w:basedOn w:val="11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4">
    <w:name w:val="Plain Table 4"/>
    <w:basedOn w:val="11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5">
    <w:name w:val="Plain Table 5"/>
    <w:basedOn w:val="11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6">
    <w:name w:val="Grid Table 1 Light"/>
    <w:basedOn w:val="11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7">
    <w:name w:val="Grid Table 1 Light - Accent 1"/>
    <w:basedOn w:val="11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8">
    <w:name w:val="Grid Table 1 Light - Accent 2"/>
    <w:basedOn w:val="11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9">
    <w:name w:val="Grid Table 1 Light - Accent 3"/>
    <w:basedOn w:val="11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0">
    <w:name w:val="Grid Table 1 Light - Accent 4"/>
    <w:basedOn w:val="11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1">
    <w:name w:val="Grid Table 1 Light - Accent 5"/>
    <w:basedOn w:val="11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2">
    <w:name w:val="Grid Table 1 Light - Accent 6"/>
    <w:basedOn w:val="11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3">
    <w:name w:val="Grid Table 2"/>
    <w:basedOn w:val="11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4">
    <w:name w:val="Grid Table 2 - Accent 1"/>
    <w:basedOn w:val="11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5">
    <w:name w:val="Grid Table 2 - Accent 2"/>
    <w:basedOn w:val="11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6">
    <w:name w:val="Grid Table 2 - Accent 3"/>
    <w:basedOn w:val="11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7">
    <w:name w:val="Grid Table 2 - Accent 4"/>
    <w:basedOn w:val="11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8">
    <w:name w:val="Grid Table 2 - Accent 5"/>
    <w:basedOn w:val="11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9">
    <w:name w:val="Grid Table 2 - Accent 6"/>
    <w:basedOn w:val="11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0">
    <w:name w:val="Grid Table 3"/>
    <w:basedOn w:val="11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1"/>
    <w:basedOn w:val="112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3 - Accent 2"/>
    <w:basedOn w:val="112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3">
    <w:name w:val="Grid Table 3 - Accent 3"/>
    <w:basedOn w:val="112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4"/>
    <w:basedOn w:val="112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5"/>
    <w:basedOn w:val="112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6"/>
    <w:basedOn w:val="112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4"/>
    <w:basedOn w:val="11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8">
    <w:name w:val="Grid Table 4 - Accent 1"/>
    <w:basedOn w:val="112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9">
    <w:name w:val="Grid Table 4 - Accent 2"/>
    <w:basedOn w:val="112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0">
    <w:name w:val="Grid Table 4 - Accent 3"/>
    <w:basedOn w:val="112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1">
    <w:name w:val="Grid Table 4 - Accent 4"/>
    <w:basedOn w:val="112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2">
    <w:name w:val="Grid Table 4 - Accent 5"/>
    <w:basedOn w:val="112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3">
    <w:name w:val="Grid Table 4 - Accent 6"/>
    <w:basedOn w:val="112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4">
    <w:name w:val="Grid Table 5 Dark"/>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5">
    <w:name w:val="Grid Table 5 Dark- Accent 1"/>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6">
    <w:name w:val="Grid Table 5 Dark - Accent 2"/>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7">
    <w:name w:val="Grid Table 5 Dark - Accent 3"/>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8">
    <w:name w:val="Grid Table 5 Dark- Accent 4"/>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9">
    <w:name w:val="Grid Table 5 Dark - Accent 5"/>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0">
    <w:name w:val="Grid Table 5 Dark - Accent 6"/>
    <w:basedOn w:val="11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1">
    <w:name w:val="Grid Table 6 Colorful"/>
    <w:basedOn w:val="11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2">
    <w:name w:val="Grid Table 6 Colorful - Accent 1"/>
    <w:basedOn w:val="112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3">
    <w:name w:val="Grid Table 6 Colorful - Accent 2"/>
    <w:basedOn w:val="11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4">
    <w:name w:val="Grid Table 6 Colorful - Accent 3"/>
    <w:basedOn w:val="112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5">
    <w:name w:val="Grid Table 6 Colorful - Accent 4"/>
    <w:basedOn w:val="11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6">
    <w:name w:val="Grid Table 6 Colorful - Accent 5"/>
    <w:basedOn w:val="112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7">
    <w:name w:val="Grid Table 6 Colorful - Accent 6"/>
    <w:basedOn w:val="112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8">
    <w:name w:val="Grid Table 7 Colorful"/>
    <w:basedOn w:val="11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9">
    <w:name w:val="Grid Table 7 Colorful - Accent 1"/>
    <w:basedOn w:val="112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0">
    <w:name w:val="Grid Table 7 Colorful - Accent 2"/>
    <w:basedOn w:val="112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1">
    <w:name w:val="Grid Table 7 Colorful - Accent 3"/>
    <w:basedOn w:val="112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2">
    <w:name w:val="Grid Table 7 Colorful - Accent 4"/>
    <w:basedOn w:val="112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3">
    <w:name w:val="Grid Table 7 Colorful - Accent 5"/>
    <w:basedOn w:val="112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4">
    <w:name w:val="Grid Table 7 Colorful - Accent 6"/>
    <w:basedOn w:val="112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5">
    <w:name w:val="List Table 1 Light"/>
    <w:basedOn w:val="11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name w:val="List Table 1 Light - Accent 1"/>
    <w:basedOn w:val="112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7">
    <w:name w:val="List Table 1 Light - Accent 2"/>
    <w:basedOn w:val="112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8">
    <w:name w:val="List Table 1 Light - Accent 3"/>
    <w:basedOn w:val="112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9">
    <w:name w:val="List Table 1 Light - Accent 4"/>
    <w:basedOn w:val="112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0">
    <w:name w:val="List Table 1 Light - Accent 5"/>
    <w:basedOn w:val="112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1">
    <w:name w:val="List Table 1 Light - Accent 6"/>
    <w:basedOn w:val="112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2">
    <w:name w:val="List Table 2"/>
    <w:basedOn w:val="11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3">
    <w:name w:val="List Table 2 - Accent 1"/>
    <w:basedOn w:val="112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4">
    <w:name w:val="List Table 2 - Accent 2"/>
    <w:basedOn w:val="112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5">
    <w:name w:val="List Table 2 - Accent 3"/>
    <w:basedOn w:val="112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6">
    <w:name w:val="List Table 2 - Accent 4"/>
    <w:basedOn w:val="112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7">
    <w:name w:val="List Table 2 - Accent 5"/>
    <w:basedOn w:val="112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8">
    <w:name w:val="List Table 2 - Accent 6"/>
    <w:basedOn w:val="112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9">
    <w:name w:val="List Table 3"/>
    <w:basedOn w:val="11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0">
    <w:name w:val="List Table 3 - Accent 1"/>
    <w:basedOn w:val="112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1">
    <w:name w:val="List Table 3 - Accent 2"/>
    <w:basedOn w:val="112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2">
    <w:name w:val="List Table 3 - Accent 3"/>
    <w:basedOn w:val="112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3">
    <w:name w:val="List Table 3 - Accent 4"/>
    <w:basedOn w:val="112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4">
    <w:name w:val="List Table 3 - Accent 5"/>
    <w:basedOn w:val="112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5">
    <w:name w:val="List Table 3 - Accent 6"/>
    <w:basedOn w:val="112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6">
    <w:name w:val="List Table 4"/>
    <w:basedOn w:val="11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4 - Accent 1"/>
    <w:basedOn w:val="112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4 - Accent 2"/>
    <w:basedOn w:val="112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9">
    <w:name w:val="List Table 4 - Accent 3"/>
    <w:basedOn w:val="112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0">
    <w:name w:val="List Table 4 - Accent 4"/>
    <w:basedOn w:val="112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1">
    <w:name w:val="List Table 4 - Accent 5"/>
    <w:basedOn w:val="112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2">
    <w:name w:val="List Table 4 - Accent 6"/>
    <w:basedOn w:val="112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3">
    <w:name w:val="List Table 5 Dark"/>
    <w:basedOn w:val="11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1"/>
    <w:basedOn w:val="112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5 Dark - Accent 2"/>
    <w:basedOn w:val="112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6">
    <w:name w:val="List Table 5 Dark - Accent 3"/>
    <w:basedOn w:val="112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4"/>
    <w:basedOn w:val="112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5"/>
    <w:basedOn w:val="112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6"/>
    <w:basedOn w:val="112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6 Colorful"/>
    <w:basedOn w:val="11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1">
    <w:name w:val="List Table 6 Colorful - Accent 1"/>
    <w:basedOn w:val="112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2">
    <w:name w:val="List Table 6 Colorful - Accent 2"/>
    <w:basedOn w:val="112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3">
    <w:name w:val="List Table 6 Colorful - Accent 3"/>
    <w:basedOn w:val="112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4">
    <w:name w:val="List Table 6 Colorful - Accent 4"/>
    <w:basedOn w:val="112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5">
    <w:name w:val="List Table 6 Colorful - Accent 5"/>
    <w:basedOn w:val="112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6">
    <w:name w:val="List Table 6 Colorful - Accent 6"/>
    <w:basedOn w:val="112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7">
    <w:name w:val="List Table 7 Colorful"/>
    <w:basedOn w:val="11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8">
    <w:name w:val="List Table 7 Colorful - Accent 1"/>
    <w:basedOn w:val="112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9">
    <w:name w:val="List Table 7 Colorful - Accent 2"/>
    <w:basedOn w:val="112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0">
    <w:name w:val="List Table 7 Colorful - Accent 3"/>
    <w:basedOn w:val="112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1">
    <w:name w:val="List Table 7 Colorful - Accent 4"/>
    <w:basedOn w:val="112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2">
    <w:name w:val="List Table 7 Colorful - Accent 5"/>
    <w:basedOn w:val="112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3">
    <w:name w:val="List Table 7 Colorful - Accent 6"/>
    <w:basedOn w:val="112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4">
    <w:name w:val="Lined - Accent"/>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5">
    <w:name w:val="Lined - Accent 1"/>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6">
    <w:name w:val="Lined - Accent 2"/>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7">
    <w:name w:val="Lined - Accent 3"/>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8">
    <w:name w:val="Lined - Accent 4"/>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9">
    <w:name w:val="Lined - Accent 5"/>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0">
    <w:name w:val="Lined - Accent 6"/>
    <w:basedOn w:val="112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1">
    <w:name w:val="Bordered &amp; Lined - Accent"/>
    <w:basedOn w:val="112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Bordered &amp; Lined - Accent 1"/>
    <w:basedOn w:val="112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Bordered &amp; Lined - Accent 2"/>
    <w:basedOn w:val="112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Bordered &amp; Lined - Accent 3"/>
    <w:basedOn w:val="112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Bordered &amp; Lined - Accent 4"/>
    <w:basedOn w:val="112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Bordered &amp; Lined - Accent 5"/>
    <w:basedOn w:val="112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Bordered &amp; Lined - Accent 6"/>
    <w:basedOn w:val="112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w:basedOn w:val="112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9">
    <w:name w:val="Bordered - Accent 1"/>
    <w:basedOn w:val="112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0">
    <w:name w:val="Bordered - Accent 2"/>
    <w:basedOn w:val="112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1">
    <w:name w:val="Bordered - Accent 3"/>
    <w:basedOn w:val="112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2">
    <w:name w:val="Bordered - Accent 4"/>
    <w:basedOn w:val="112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3">
    <w:name w:val="Bordered - Accent 5"/>
    <w:basedOn w:val="112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4">
    <w:name w:val="Bordered - Accent 6"/>
    <w:basedOn w:val="112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05">
    <w:name w:val="footnote text"/>
    <w:basedOn w:val="1120"/>
    <w:link w:val="1106"/>
    <w:uiPriority w:val="99"/>
    <w:semiHidden/>
    <w:unhideWhenUsed/>
    <w:pPr>
      <w:spacing w:after="40" w:line="240" w:lineRule="auto"/>
    </w:pPr>
    <w:rPr>
      <w:sz w:val="18"/>
    </w:rPr>
  </w:style>
  <w:style w:type="character" w:styleId="1106">
    <w:name w:val="Footnote Text Char"/>
    <w:link w:val="1105"/>
    <w:uiPriority w:val="99"/>
    <w:rPr>
      <w:sz w:val="18"/>
    </w:rPr>
  </w:style>
  <w:style w:type="character" w:styleId="1107">
    <w:name w:val="footnote reference"/>
    <w:basedOn w:val="1125"/>
    <w:uiPriority w:val="99"/>
    <w:unhideWhenUsed/>
    <w:rPr>
      <w:vertAlign w:val="superscript"/>
    </w:rPr>
  </w:style>
  <w:style w:type="paragraph" w:styleId="1108">
    <w:name w:val="endnote text"/>
    <w:basedOn w:val="1120"/>
    <w:link w:val="1109"/>
    <w:uiPriority w:val="99"/>
    <w:semiHidden/>
    <w:unhideWhenUsed/>
    <w:pPr>
      <w:spacing w:after="0" w:line="240" w:lineRule="auto"/>
    </w:pPr>
    <w:rPr>
      <w:sz w:val="20"/>
    </w:rPr>
  </w:style>
  <w:style w:type="character" w:styleId="1109">
    <w:name w:val="Endnote Text Char"/>
    <w:link w:val="1108"/>
    <w:uiPriority w:val="99"/>
    <w:rPr>
      <w:sz w:val="20"/>
    </w:rPr>
  </w:style>
  <w:style w:type="character" w:styleId="1110">
    <w:name w:val="endnote reference"/>
    <w:basedOn w:val="1125"/>
    <w:uiPriority w:val="99"/>
    <w:semiHidden/>
    <w:unhideWhenUsed/>
    <w:rPr>
      <w:vertAlign w:val="superscript"/>
    </w:rPr>
  </w:style>
  <w:style w:type="paragraph" w:styleId="1111">
    <w:name w:val="toc 3"/>
    <w:basedOn w:val="1120"/>
    <w:next w:val="1120"/>
    <w:uiPriority w:val="39"/>
    <w:unhideWhenUsed/>
    <w:pPr>
      <w:ind w:left="567" w:right="0" w:firstLine="0"/>
      <w:spacing w:after="57"/>
    </w:pPr>
  </w:style>
  <w:style w:type="paragraph" w:styleId="1112">
    <w:name w:val="toc 4"/>
    <w:basedOn w:val="1120"/>
    <w:next w:val="1120"/>
    <w:uiPriority w:val="39"/>
    <w:unhideWhenUsed/>
    <w:pPr>
      <w:ind w:left="850" w:right="0" w:firstLine="0"/>
      <w:spacing w:after="57"/>
    </w:pPr>
  </w:style>
  <w:style w:type="paragraph" w:styleId="1113">
    <w:name w:val="toc 5"/>
    <w:basedOn w:val="1120"/>
    <w:next w:val="1120"/>
    <w:uiPriority w:val="39"/>
    <w:unhideWhenUsed/>
    <w:pPr>
      <w:ind w:left="1134" w:right="0" w:firstLine="0"/>
      <w:spacing w:after="57"/>
    </w:pPr>
  </w:style>
  <w:style w:type="paragraph" w:styleId="1114">
    <w:name w:val="toc 6"/>
    <w:basedOn w:val="1120"/>
    <w:next w:val="1120"/>
    <w:uiPriority w:val="39"/>
    <w:unhideWhenUsed/>
    <w:pPr>
      <w:ind w:left="1417" w:right="0" w:firstLine="0"/>
      <w:spacing w:after="57"/>
    </w:pPr>
  </w:style>
  <w:style w:type="paragraph" w:styleId="1115">
    <w:name w:val="toc 7"/>
    <w:basedOn w:val="1120"/>
    <w:next w:val="1120"/>
    <w:uiPriority w:val="39"/>
    <w:unhideWhenUsed/>
    <w:pPr>
      <w:ind w:left="1701" w:right="0" w:firstLine="0"/>
      <w:spacing w:after="57"/>
    </w:pPr>
  </w:style>
  <w:style w:type="paragraph" w:styleId="1116">
    <w:name w:val="toc 8"/>
    <w:basedOn w:val="1120"/>
    <w:next w:val="1120"/>
    <w:uiPriority w:val="39"/>
    <w:unhideWhenUsed/>
    <w:pPr>
      <w:ind w:left="1984" w:right="0" w:firstLine="0"/>
      <w:spacing w:after="57"/>
    </w:pPr>
  </w:style>
  <w:style w:type="paragraph" w:styleId="1117">
    <w:name w:val="toc 9"/>
    <w:basedOn w:val="1120"/>
    <w:next w:val="1120"/>
    <w:uiPriority w:val="39"/>
    <w:unhideWhenUsed/>
    <w:pPr>
      <w:ind w:left="2268" w:right="0" w:firstLine="0"/>
      <w:spacing w:after="57"/>
    </w:pPr>
  </w:style>
  <w:style w:type="paragraph" w:styleId="1118">
    <w:name w:val="TOC Heading"/>
    <w:uiPriority w:val="39"/>
    <w:unhideWhenUsed/>
  </w:style>
  <w:style w:type="paragraph" w:styleId="1119">
    <w:name w:val="table of figures"/>
    <w:basedOn w:val="1120"/>
    <w:next w:val="1120"/>
    <w:uiPriority w:val="99"/>
    <w:unhideWhenUsed/>
    <w:pPr>
      <w:spacing w:after="0" w:afterAutospacing="0"/>
    </w:pPr>
  </w:style>
  <w:style w:type="paragraph" w:styleId="112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1121">
    <w:name w:val="Heading 1"/>
    <w:basedOn w:val="1120"/>
    <w:next w:val="1120"/>
    <w:link w:val="1160"/>
    <w:uiPriority w:val="0"/>
    <w:qFormat/>
    <w:pPr>
      <w:keepLines/>
      <w:keepNext/>
      <w:spacing w:before="340" w:after="330" w:line="578" w:lineRule="auto"/>
      <w:outlineLvl w:val="0"/>
    </w:pPr>
    <w:rPr>
      <w:b/>
      <w:sz w:val="44"/>
    </w:rPr>
  </w:style>
  <w:style w:type="paragraph" w:styleId="1122">
    <w:name w:val="Heading 2"/>
    <w:basedOn w:val="1120"/>
    <w:next w:val="1120"/>
    <w:link w:val="1161"/>
    <w:uiPriority w:val="0"/>
    <w:qFormat/>
    <w:pPr>
      <w:keepLines/>
      <w:keepNext/>
      <w:spacing w:before="260" w:after="260" w:line="416" w:lineRule="auto"/>
      <w:outlineLvl w:val="1"/>
    </w:pPr>
    <w:rPr>
      <w:rFonts w:ascii="Arial" w:hAnsi="Arial" w:eastAsia="黑体"/>
      <w:b/>
      <w:bCs/>
      <w:sz w:val="32"/>
      <w:szCs w:val="32"/>
    </w:rPr>
  </w:style>
  <w:style w:type="paragraph" w:styleId="1123">
    <w:name w:val="Heading 3"/>
    <w:basedOn w:val="1120"/>
    <w:next w:val="1120"/>
    <w:link w:val="1162"/>
    <w:uiPriority w:val="0"/>
    <w:qFormat/>
    <w:pPr>
      <w:keepLines/>
      <w:keepNext/>
      <w:spacing w:before="260" w:after="260" w:line="416" w:lineRule="auto"/>
      <w:outlineLvl w:val="2"/>
    </w:pPr>
    <w:rPr>
      <w:b/>
      <w:bCs/>
      <w:sz w:val="32"/>
      <w:szCs w:val="32"/>
    </w:rPr>
  </w:style>
  <w:style w:type="paragraph" w:styleId="1124">
    <w:name w:val="Heading 4"/>
    <w:basedOn w:val="1120"/>
    <w:next w:val="1120"/>
    <w:link w:val="1163"/>
    <w:uiPriority w:val="0"/>
    <w:qFormat/>
    <w:pPr>
      <w:keepLines/>
      <w:keepNext/>
      <w:spacing w:before="280" w:after="290" w:line="376" w:lineRule="auto"/>
      <w:outlineLvl w:val="3"/>
    </w:pPr>
    <w:rPr>
      <w:rFonts w:ascii="Arial" w:hAnsi="Arial" w:eastAsia="黑体"/>
      <w:b/>
      <w:bCs/>
      <w:sz w:val="28"/>
      <w:szCs w:val="28"/>
    </w:rPr>
  </w:style>
  <w:style w:type="character" w:styleId="1125" w:default="1">
    <w:name w:val="Default Paragraph Font"/>
    <w:uiPriority w:val="1"/>
    <w:semiHidden/>
    <w:unhideWhenUsed/>
    <w:qFormat/>
  </w:style>
  <w:style w:type="table" w:styleId="1126" w:default="1">
    <w:name w:val="Normal Table"/>
    <w:uiPriority w:val="99"/>
    <w:semiHidden/>
    <w:unhideWhenUsed/>
    <w:qFormat/>
    <w:tblPr>
      <w:tblCellMar>
        <w:left w:w="108" w:type="dxa"/>
        <w:top w:w="0" w:type="dxa"/>
        <w:right w:w="108" w:type="dxa"/>
        <w:bottom w:w="0" w:type="dxa"/>
      </w:tblCellMar>
    </w:tblPr>
  </w:style>
  <w:style w:type="paragraph" w:styleId="1127">
    <w:name w:val="List Number"/>
    <w:basedOn w:val="1120"/>
    <w:uiPriority w:val="0"/>
    <w:qFormat/>
    <w:pPr>
      <w:ind w:left="1125" w:hanging="555"/>
      <w:tabs>
        <w:tab w:val="left" w:pos="1125" w:leader="none"/>
      </w:tabs>
    </w:pPr>
    <w:rPr>
      <w:rFonts w:eastAsia="宋体"/>
      <w:sz w:val="21"/>
      <w:szCs w:val="24"/>
    </w:rPr>
  </w:style>
  <w:style w:type="paragraph" w:styleId="1128">
    <w:name w:val="Normal Indent"/>
    <w:basedOn w:val="1120"/>
    <w:next w:val="1120"/>
    <w:link w:val="1240"/>
    <w:uiPriority w:val="0"/>
    <w:qFormat/>
    <w:pPr>
      <w:ind w:firstLine="420"/>
      <w:jc w:val="left"/>
    </w:pPr>
    <w:rPr>
      <w:sz w:val="24"/>
    </w:rPr>
  </w:style>
  <w:style w:type="paragraph" w:styleId="1129">
    <w:name w:val="Document Map"/>
    <w:basedOn w:val="1120"/>
    <w:link w:val="1239"/>
    <w:uiPriority w:val="99"/>
    <w:semiHidden/>
    <w:unhideWhenUsed/>
    <w:qFormat/>
    <w:pPr>
      <w:shd w:val="clear" w:color="auto" w:fill="000080"/>
    </w:pPr>
  </w:style>
  <w:style w:type="paragraph" w:styleId="1130">
    <w:name w:val="toa heading"/>
    <w:basedOn w:val="1120"/>
    <w:next w:val="1120"/>
    <w:uiPriority w:val="0"/>
    <w:qFormat/>
    <w:pPr>
      <w:spacing w:before="120"/>
    </w:pPr>
    <w:rPr>
      <w:rFonts w:ascii="Arial" w:hAnsi="Arial" w:eastAsia="宋体"/>
      <w:sz w:val="24"/>
    </w:rPr>
  </w:style>
  <w:style w:type="paragraph" w:styleId="1131">
    <w:name w:val="annotation text"/>
    <w:basedOn w:val="1120"/>
    <w:link w:val="1177"/>
    <w:uiPriority w:val="0"/>
    <w:qFormat/>
    <w:pPr>
      <w:jc w:val="left"/>
    </w:pPr>
  </w:style>
  <w:style w:type="paragraph" w:styleId="1132">
    <w:name w:val="Body Text"/>
    <w:basedOn w:val="1120"/>
    <w:link w:val="1169"/>
    <w:uiPriority w:val="0"/>
    <w:qFormat/>
    <w:pPr>
      <w:spacing w:line="400" w:lineRule="exact"/>
    </w:pPr>
    <w:rPr>
      <w:rFonts w:ascii="楷体_GB2312"/>
      <w:sz w:val="28"/>
    </w:rPr>
  </w:style>
  <w:style w:type="paragraph" w:styleId="1133">
    <w:name w:val="Body Text Indent"/>
    <w:basedOn w:val="1120"/>
    <w:next w:val="1120"/>
    <w:link w:val="1180"/>
    <w:uiPriority w:val="0"/>
    <w:qFormat/>
    <w:pPr>
      <w:ind w:left="420"/>
      <w:spacing w:after="120"/>
    </w:pPr>
  </w:style>
  <w:style w:type="paragraph" w:styleId="1134">
    <w:name w:val="Block Text"/>
    <w:basedOn w:val="1120"/>
    <w:uiPriority w:val="0"/>
    <w:qFormat/>
    <w:pPr>
      <w:ind w:left="147" w:right="246" w:firstLine="480"/>
      <w:spacing w:line="360" w:lineRule="auto"/>
    </w:pPr>
    <w:rPr>
      <w:rFonts w:ascii="宋体" w:hAnsi="宋体" w:eastAsia="宋体"/>
      <w:sz w:val="24"/>
      <w:szCs w:val="24"/>
    </w:rPr>
  </w:style>
  <w:style w:type="paragraph" w:styleId="1135">
    <w:name w:val="Plain Text"/>
    <w:basedOn w:val="1120"/>
    <w:link w:val="1167"/>
    <w:uiPriority w:val="0"/>
    <w:qFormat/>
    <w:rPr>
      <w:rFonts w:ascii="宋体" w:hAnsi="Courier New"/>
    </w:rPr>
  </w:style>
  <w:style w:type="paragraph" w:styleId="1136">
    <w:name w:val="Date"/>
    <w:basedOn w:val="1120"/>
    <w:next w:val="1120"/>
    <w:link w:val="1168"/>
    <w:uiPriority w:val="0"/>
    <w:qFormat/>
    <w:rPr>
      <w:rFonts w:ascii="宋体" w:hAnsi="宋体"/>
      <w:sz w:val="24"/>
    </w:rPr>
  </w:style>
  <w:style w:type="paragraph" w:styleId="1137">
    <w:name w:val="Body Text Indent 2"/>
    <w:basedOn w:val="1120"/>
    <w:link w:val="1170"/>
    <w:uiPriority w:val="0"/>
    <w:qFormat/>
    <w:pPr>
      <w:ind w:firstLine="502"/>
      <w:spacing w:line="360" w:lineRule="auto"/>
      <w:tabs>
        <w:tab w:val="left" w:pos="0" w:leader="none"/>
      </w:tabs>
    </w:pPr>
    <w:rPr>
      <w:rFonts w:ascii="宋体" w:eastAsia="宋体"/>
      <w:b/>
      <w:bCs/>
      <w:sz w:val="24"/>
    </w:rPr>
  </w:style>
  <w:style w:type="paragraph" w:styleId="1138">
    <w:name w:val="Balloon Text"/>
    <w:basedOn w:val="1120"/>
    <w:link w:val="1171"/>
    <w:uiPriority w:val="0"/>
    <w:semiHidden/>
    <w:qFormat/>
    <w:rPr>
      <w:sz w:val="18"/>
      <w:szCs w:val="18"/>
    </w:rPr>
  </w:style>
  <w:style w:type="paragraph" w:styleId="1139">
    <w:name w:val="Footer"/>
    <w:basedOn w:val="1120"/>
    <w:link w:val="1242"/>
    <w:uiPriority w:val="99"/>
    <w:unhideWhenUsed/>
    <w:qFormat/>
    <w:pPr>
      <w:jc w:val="left"/>
      <w:tabs>
        <w:tab w:val="center" w:pos="4153" w:leader="none"/>
        <w:tab w:val="right" w:pos="8306" w:leader="none"/>
      </w:tabs>
    </w:pPr>
    <w:rPr>
      <w:sz w:val="18"/>
      <w:szCs w:val="18"/>
    </w:rPr>
  </w:style>
  <w:style w:type="paragraph" w:styleId="1140">
    <w:name w:val="envelope return"/>
    <w:basedOn w:val="1120"/>
    <w:uiPriority w:val="0"/>
    <w:qFormat/>
    <w:rPr>
      <w:rFonts w:ascii="Arial" w:hAnsi="Arial"/>
    </w:rPr>
  </w:style>
  <w:style w:type="paragraph" w:styleId="1141">
    <w:name w:val="Header"/>
    <w:basedOn w:val="1120"/>
    <w:link w:val="1158"/>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142">
    <w:name w:val="toc 1"/>
    <w:basedOn w:val="1120"/>
    <w:next w:val="1120"/>
    <w:uiPriority w:val="39"/>
    <w:qFormat/>
    <w:pPr>
      <w:jc w:val="left"/>
    </w:pPr>
    <w:rPr>
      <w:sz w:val="24"/>
    </w:rPr>
  </w:style>
  <w:style w:type="paragraph" w:styleId="1143">
    <w:name w:val="Subtitle"/>
    <w:basedOn w:val="1120"/>
    <w:next w:val="1120"/>
    <w:link w:val="1195"/>
    <w:uiPriority w:val="0"/>
    <w:qFormat/>
    <w:pPr>
      <w:jc w:val="center"/>
      <w:spacing w:before="240" w:after="60" w:line="312" w:lineRule="auto"/>
      <w:outlineLvl w:val="1"/>
    </w:pPr>
    <w:rPr>
      <w:rFonts w:ascii="Cambria" w:hAnsi="Cambria" w:eastAsia="宋体"/>
      <w:b/>
      <w:bCs/>
      <w:sz w:val="32"/>
      <w:szCs w:val="32"/>
    </w:rPr>
  </w:style>
  <w:style w:type="paragraph" w:styleId="1144">
    <w:name w:val="Body Text Indent 3"/>
    <w:basedOn w:val="1120"/>
    <w:link w:val="1172"/>
    <w:uiPriority w:val="0"/>
    <w:qFormat/>
    <w:pPr>
      <w:ind w:left="420"/>
      <w:spacing w:after="120"/>
    </w:pPr>
    <w:rPr>
      <w:sz w:val="16"/>
      <w:szCs w:val="16"/>
    </w:rPr>
  </w:style>
  <w:style w:type="paragraph" w:styleId="1145">
    <w:name w:val="toc 2"/>
    <w:basedOn w:val="1120"/>
    <w:next w:val="1120"/>
    <w:uiPriority w:val="39"/>
    <w:semiHidden/>
    <w:unhideWhenUsed/>
    <w:qFormat/>
    <w:pPr>
      <w:ind w:left="420"/>
    </w:pPr>
  </w:style>
  <w:style w:type="paragraph" w:styleId="1146">
    <w:name w:val="Normal (Web)"/>
    <w:basedOn w:val="1120"/>
    <w:uiPriority w:val="0"/>
    <w:qFormat/>
    <w:pPr>
      <w:jc w:val="left"/>
      <w:spacing w:before="100" w:beforeAutospacing="1" w:after="100" w:afterAutospacing="1"/>
      <w:widowControl/>
    </w:pPr>
    <w:rPr>
      <w:rFonts w:ascii="宋体" w:hAnsi="宋体" w:eastAsia="宋体" w:cs="宋体"/>
      <w:sz w:val="24"/>
      <w:szCs w:val="24"/>
    </w:rPr>
  </w:style>
  <w:style w:type="paragraph" w:styleId="1147">
    <w:name w:val="index 1"/>
    <w:basedOn w:val="1120"/>
    <w:next w:val="1120"/>
    <w:uiPriority w:val="0"/>
    <w:semiHidden/>
    <w:qFormat/>
  </w:style>
  <w:style w:type="paragraph" w:styleId="1148">
    <w:name w:val="Title"/>
    <w:basedOn w:val="1120"/>
    <w:uiPriority w:val="1"/>
    <w:qFormat/>
    <w:pPr>
      <w:ind w:left="1315" w:right="1315"/>
      <w:jc w:val="center"/>
      <w:spacing w:line="514" w:lineRule="exact"/>
    </w:pPr>
    <w:rPr>
      <w:rFonts w:ascii="Microsoft JhengHei" w:hAnsi="Microsoft JhengHei" w:eastAsia="Microsoft JhengHei" w:cs="Microsoft JhengHei"/>
      <w:b/>
      <w:bCs/>
      <w:sz w:val="32"/>
      <w:szCs w:val="32"/>
      <w:lang w:val="zh-CN" w:bidi="zh-CN"/>
    </w:rPr>
  </w:style>
  <w:style w:type="paragraph" w:styleId="1149">
    <w:name w:val="annotation subject"/>
    <w:basedOn w:val="1131"/>
    <w:next w:val="1131"/>
    <w:link w:val="1178"/>
    <w:uiPriority w:val="0"/>
    <w:semiHidden/>
    <w:qFormat/>
    <w:rPr>
      <w:b/>
      <w:bCs/>
    </w:rPr>
  </w:style>
  <w:style w:type="paragraph" w:styleId="1150">
    <w:name w:val="Body Text First Indent 2"/>
    <w:basedOn w:val="1133"/>
    <w:link w:val="1191"/>
    <w:uiPriority w:val="0"/>
    <w:qFormat/>
    <w:pPr>
      <w:ind w:firstLine="420"/>
    </w:pPr>
    <w:rPr>
      <w:rFonts w:eastAsia="宋体"/>
      <w:sz w:val="21"/>
      <w:szCs w:val="24"/>
    </w:rPr>
  </w:style>
  <w:style w:type="table" w:styleId="1151">
    <w:name w:val="Table Grid"/>
    <w:basedOn w:val="1126"/>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2">
    <w:name w:val="Strong"/>
    <w:basedOn w:val="1125"/>
    <w:uiPriority w:val="0"/>
    <w:qFormat/>
    <w:rPr>
      <w:b/>
    </w:rPr>
  </w:style>
  <w:style w:type="character" w:styleId="1153">
    <w:name w:val="page number"/>
    <w:basedOn w:val="1125"/>
    <w:uiPriority w:val="0"/>
    <w:qFormat/>
  </w:style>
  <w:style w:type="character" w:styleId="1154">
    <w:name w:val="Hyperlink"/>
    <w:basedOn w:val="1125"/>
    <w:uiPriority w:val="0"/>
    <w:qFormat/>
    <w:rPr>
      <w:color w:val="0000ff"/>
      <w:u w:val="single"/>
    </w:rPr>
  </w:style>
  <w:style w:type="character" w:styleId="1155">
    <w:name w:val="annotation reference"/>
    <w:basedOn w:val="1125"/>
    <w:uiPriority w:val="99"/>
    <w:qFormat/>
    <w:rPr>
      <w:sz w:val="21"/>
      <w:szCs w:val="21"/>
    </w:rPr>
  </w:style>
  <w:style w:type="paragraph" w:styleId="1156" w:customStyle="1">
    <w:name w:val="段"/>
    <w:next w:val="1120"/>
    <w:uiPriority w:val="0"/>
    <w:qFormat/>
    <w:pPr>
      <w:ind w:firstLine="200"/>
      <w:jc w:val="both"/>
    </w:pPr>
    <w:rPr>
      <w:rFonts w:ascii="宋体" w:hAnsi="Times New Roman" w:eastAsia="宋体" w:cs="Times New Roman"/>
      <w:sz w:val="21"/>
      <w:lang w:val="en-US" w:eastAsia="zh-CN" w:bidi="ar-SA"/>
    </w:rPr>
  </w:style>
  <w:style w:type="paragraph" w:styleId="1157" w:customStyle="1">
    <w:name w:val="Default"/>
    <w:link w:val="1238"/>
    <w:uiPriority w:val="0"/>
    <w:qFormat/>
    <w:pPr>
      <w:widowControl w:val="off"/>
    </w:pPr>
    <w:rPr>
      <w:rFonts w:ascii="宋体糭.飬.." w:hAnsi="Times New Roman" w:eastAsia="宋体糭.飬.." w:cs="宋体糭.飬.."/>
      <w:color w:val="000000"/>
      <w:sz w:val="24"/>
      <w:szCs w:val="24"/>
      <w:lang w:val="en-US" w:eastAsia="zh-CN" w:bidi="ar-SA"/>
    </w:rPr>
  </w:style>
  <w:style w:type="character" w:styleId="1158" w:customStyle="1">
    <w:name w:val="页眉 字符"/>
    <w:basedOn w:val="1125"/>
    <w:link w:val="1141"/>
    <w:uiPriority w:val="0"/>
    <w:qFormat/>
    <w:rPr>
      <w:sz w:val="18"/>
      <w:szCs w:val="18"/>
    </w:rPr>
  </w:style>
  <w:style w:type="character" w:styleId="1159" w:customStyle="1">
    <w:name w:val="页脚 字符"/>
    <w:basedOn w:val="1125"/>
    <w:uiPriority w:val="99"/>
    <w:qFormat/>
    <w:rPr>
      <w:sz w:val="18"/>
      <w:szCs w:val="18"/>
    </w:rPr>
  </w:style>
  <w:style w:type="character" w:styleId="1160" w:customStyle="1">
    <w:name w:val="标题 1 字符"/>
    <w:basedOn w:val="1125"/>
    <w:link w:val="1121"/>
    <w:uiPriority w:val="0"/>
    <w:qFormat/>
    <w:rPr>
      <w:rFonts w:ascii="Times New Roman" w:hAnsi="Times New Roman" w:eastAsia="楷体_GB2312" w:cs="Times New Roman"/>
      <w:b/>
      <w:sz w:val="44"/>
      <w:szCs w:val="20"/>
    </w:rPr>
  </w:style>
  <w:style w:type="character" w:styleId="1161" w:customStyle="1">
    <w:name w:val="标题 2 字符"/>
    <w:basedOn w:val="1125"/>
    <w:link w:val="1122"/>
    <w:uiPriority w:val="0"/>
    <w:qFormat/>
    <w:rPr>
      <w:rFonts w:ascii="Arial" w:hAnsi="Arial" w:eastAsia="黑体" w:cs="Times New Roman"/>
      <w:b/>
      <w:bCs/>
      <w:sz w:val="32"/>
      <w:szCs w:val="32"/>
    </w:rPr>
  </w:style>
  <w:style w:type="character" w:styleId="1162" w:customStyle="1">
    <w:name w:val="标题 3 字符"/>
    <w:basedOn w:val="1125"/>
    <w:link w:val="1123"/>
    <w:uiPriority w:val="0"/>
    <w:qFormat/>
    <w:rPr>
      <w:rFonts w:ascii="Times New Roman" w:hAnsi="Times New Roman" w:eastAsia="楷体_GB2312" w:cs="Times New Roman"/>
      <w:b/>
      <w:bCs/>
      <w:sz w:val="32"/>
      <w:szCs w:val="32"/>
    </w:rPr>
  </w:style>
  <w:style w:type="character" w:styleId="1163" w:customStyle="1">
    <w:name w:val="标题 4 字符"/>
    <w:basedOn w:val="1125"/>
    <w:link w:val="1124"/>
    <w:uiPriority w:val="0"/>
    <w:qFormat/>
    <w:rPr>
      <w:rFonts w:ascii="Arial" w:hAnsi="Arial" w:eastAsia="黑体" w:cs="Times New Roman"/>
      <w:b/>
      <w:bCs/>
      <w:sz w:val="28"/>
      <w:szCs w:val="28"/>
    </w:rPr>
  </w:style>
  <w:style w:type="character" w:styleId="1164" w:customStyle="1">
    <w:name w:val="正文缩进 字符"/>
    <w:uiPriority w:val="0"/>
    <w:qFormat/>
    <w:rPr>
      <w:rFonts w:ascii="Times New Roman" w:hAnsi="Times New Roman" w:eastAsia="楷体_GB2312" w:cs="Times New Roman"/>
      <w:sz w:val="24"/>
      <w:szCs w:val="20"/>
    </w:rPr>
  </w:style>
  <w:style w:type="paragraph" w:styleId="1165" w:customStyle="1">
    <w:name w:val="纯文本1"/>
    <w:basedOn w:val="1120"/>
    <w:link w:val="1166"/>
    <w:uiPriority w:val="0"/>
    <w:qFormat/>
    <w:rPr>
      <w:rFonts w:ascii="宋体" w:hAnsi="Courier New"/>
    </w:rPr>
  </w:style>
  <w:style w:type="character" w:styleId="1166" w:customStyle="1">
    <w:name w:val="Plain Text Char Char"/>
    <w:link w:val="1165"/>
    <w:uiPriority w:val="0"/>
    <w:qFormat/>
    <w:rPr>
      <w:rFonts w:ascii="宋体" w:hAnsi="Courier New" w:eastAsia="楷体_GB2312" w:cs="Times New Roman"/>
      <w:sz w:val="26"/>
      <w:szCs w:val="20"/>
    </w:rPr>
  </w:style>
  <w:style w:type="character" w:styleId="1167" w:customStyle="1">
    <w:name w:val="纯文本 字符"/>
    <w:basedOn w:val="1125"/>
    <w:link w:val="1135"/>
    <w:uiPriority w:val="0"/>
    <w:qFormat/>
    <w:rPr>
      <w:rFonts w:ascii="宋体" w:hAnsi="Courier New" w:eastAsia="楷体_GB2312" w:cs="Times New Roman"/>
      <w:sz w:val="26"/>
      <w:szCs w:val="20"/>
    </w:rPr>
  </w:style>
  <w:style w:type="character" w:styleId="1168" w:customStyle="1">
    <w:name w:val="日期 字符"/>
    <w:basedOn w:val="1125"/>
    <w:link w:val="1136"/>
    <w:uiPriority w:val="0"/>
    <w:qFormat/>
    <w:rPr>
      <w:rFonts w:ascii="宋体" w:hAnsi="宋体" w:eastAsia="楷体_GB2312" w:cs="Times New Roman"/>
      <w:sz w:val="24"/>
      <w:szCs w:val="20"/>
    </w:rPr>
  </w:style>
  <w:style w:type="character" w:styleId="1169" w:customStyle="1">
    <w:name w:val="正文文本 字符"/>
    <w:basedOn w:val="1125"/>
    <w:link w:val="1132"/>
    <w:uiPriority w:val="0"/>
    <w:qFormat/>
    <w:rPr>
      <w:rFonts w:ascii="楷体_GB2312" w:hAnsi="Times New Roman" w:eastAsia="楷体_GB2312" w:cs="Times New Roman"/>
      <w:sz w:val="28"/>
      <w:szCs w:val="20"/>
    </w:rPr>
  </w:style>
  <w:style w:type="character" w:styleId="1170" w:customStyle="1">
    <w:name w:val="正文文本缩进 2 字符"/>
    <w:basedOn w:val="1125"/>
    <w:link w:val="1137"/>
    <w:uiPriority w:val="0"/>
    <w:qFormat/>
    <w:rPr>
      <w:rFonts w:ascii="宋体" w:hAnsi="Times New Roman" w:eastAsia="宋体" w:cs="Times New Roman"/>
      <w:b/>
      <w:bCs/>
      <w:sz w:val="24"/>
      <w:szCs w:val="20"/>
    </w:rPr>
  </w:style>
  <w:style w:type="character" w:styleId="1171" w:customStyle="1">
    <w:name w:val="批注框文本 字符"/>
    <w:basedOn w:val="1125"/>
    <w:link w:val="1138"/>
    <w:uiPriority w:val="0"/>
    <w:semiHidden/>
    <w:qFormat/>
    <w:rPr>
      <w:rFonts w:ascii="Times New Roman" w:hAnsi="Times New Roman" w:eastAsia="楷体_GB2312" w:cs="Times New Roman"/>
      <w:sz w:val="18"/>
      <w:szCs w:val="18"/>
    </w:rPr>
  </w:style>
  <w:style w:type="character" w:styleId="1172" w:customStyle="1">
    <w:name w:val="正文文本缩进 3 字符"/>
    <w:basedOn w:val="1125"/>
    <w:link w:val="1144"/>
    <w:uiPriority w:val="0"/>
    <w:qFormat/>
    <w:rPr>
      <w:rFonts w:ascii="Times New Roman" w:hAnsi="Times New Roman" w:eastAsia="楷体_GB2312" w:cs="Times New Roman"/>
      <w:sz w:val="16"/>
      <w:szCs w:val="16"/>
    </w:rPr>
  </w:style>
  <w:style w:type="character" w:styleId="1173" w:customStyle="1">
    <w:name w:val="正文首行缩进 Char Char"/>
    <w:link w:val="1174"/>
    <w:uiPriority w:val="0"/>
    <w:qFormat/>
    <w:rPr>
      <w:szCs w:val="24"/>
    </w:rPr>
  </w:style>
  <w:style w:type="paragraph" w:styleId="1174" w:customStyle="1">
    <w:name w:val="正文首行缩进1"/>
    <w:basedOn w:val="1132"/>
    <w:link w:val="1173"/>
    <w:uiPriority w:val="0"/>
    <w:qFormat/>
    <w:pPr>
      <w:ind w:firstLine="420"/>
      <w:spacing w:after="120" w:line="240" w:lineRule="auto"/>
    </w:pPr>
    <w:rPr>
      <w:rFonts w:asciiTheme="minorHAnsi" w:hAnsiTheme="minorHAnsi" w:eastAsiaTheme="minorEastAsia" w:cstheme="minorBidi"/>
      <w:sz w:val="21"/>
      <w:szCs w:val="24"/>
    </w:rPr>
  </w:style>
  <w:style w:type="paragraph" w:styleId="1175" w:customStyle="1">
    <w:name w:val="_Style 24"/>
    <w:basedOn w:val="1120"/>
    <w:uiPriority w:val="0"/>
    <w:qFormat/>
    <w:rPr>
      <w:rFonts w:eastAsia="宋体"/>
      <w:sz w:val="21"/>
      <w:szCs w:val="24"/>
    </w:rPr>
  </w:style>
  <w:style w:type="character" w:styleId="1176" w:customStyle="1">
    <w:name w:val="Char Char1"/>
    <w:uiPriority w:val="0"/>
    <w:qFormat/>
    <w:rPr>
      <w:rFonts w:ascii="宋体" w:hAnsi="Courier New" w:eastAsia="楷体_GB2312"/>
      <w:sz w:val="26"/>
      <w:lang w:val="en-US" w:eastAsia="zh-CN" w:bidi="ar-SA"/>
    </w:rPr>
  </w:style>
  <w:style w:type="character" w:styleId="1177" w:customStyle="1">
    <w:name w:val="批注文字 字符"/>
    <w:basedOn w:val="1125"/>
    <w:link w:val="1131"/>
    <w:uiPriority w:val="0"/>
    <w:qFormat/>
    <w:rPr>
      <w:rFonts w:ascii="Times New Roman" w:hAnsi="Times New Roman" w:eastAsia="楷体_GB2312" w:cs="Times New Roman"/>
      <w:sz w:val="26"/>
      <w:szCs w:val="20"/>
    </w:rPr>
  </w:style>
  <w:style w:type="character" w:styleId="1178" w:customStyle="1">
    <w:name w:val="批注主题 字符"/>
    <w:basedOn w:val="1177"/>
    <w:link w:val="1149"/>
    <w:uiPriority w:val="0"/>
    <w:semiHidden/>
    <w:qFormat/>
    <w:rPr>
      <w:rFonts w:ascii="Times New Roman" w:hAnsi="Times New Roman" w:eastAsia="楷体_GB2312" w:cs="Times New Roman"/>
      <w:b/>
      <w:bCs/>
      <w:sz w:val="26"/>
      <w:szCs w:val="20"/>
    </w:rPr>
  </w:style>
  <w:style w:type="paragraph" w:styleId="1179" w:customStyle="1">
    <w:name w:val="纯文本111"/>
    <w:basedOn w:val="1120"/>
    <w:uiPriority w:val="0"/>
    <w:qFormat/>
    <w:rPr>
      <w:rFonts w:ascii="宋体" w:hAnsi="Courier New"/>
      <w:sz w:val="28"/>
    </w:rPr>
  </w:style>
  <w:style w:type="character" w:styleId="1180" w:customStyle="1">
    <w:name w:val="正文文本缩进 字符"/>
    <w:basedOn w:val="1125"/>
    <w:link w:val="1133"/>
    <w:uiPriority w:val="0"/>
    <w:qFormat/>
    <w:rPr>
      <w:rFonts w:ascii="Times New Roman" w:hAnsi="Times New Roman" w:eastAsia="楷体_GB2312" w:cs="Times New Roman"/>
      <w:sz w:val="26"/>
      <w:szCs w:val="20"/>
    </w:rPr>
  </w:style>
  <w:style w:type="character" w:styleId="1181" w:customStyle="1">
    <w:name w:val="ca-221"/>
    <w:uiPriority w:val="0"/>
    <w:qFormat/>
    <w:rPr>
      <w:rFonts w:hint="eastAsia" w:ascii="宋体" w:hAnsi="宋体" w:eastAsia="宋体"/>
      <w:color w:val="ff0000"/>
      <w:sz w:val="24"/>
      <w:szCs w:val="24"/>
    </w:rPr>
  </w:style>
  <w:style w:type="paragraph" w:styleId="1182" w:customStyle="1">
    <w:name w:val="p0"/>
    <w:basedOn w:val="1120"/>
    <w:uiPriority w:val="0"/>
    <w:qFormat/>
    <w:pPr>
      <w:jc w:val="left"/>
      <w:spacing w:before="100" w:beforeAutospacing="1" w:after="100" w:afterAutospacing="1"/>
      <w:widowControl/>
    </w:pPr>
    <w:rPr>
      <w:rFonts w:ascii="宋体" w:hAnsi="宋体" w:eastAsia="宋体" w:cs="宋体"/>
      <w:sz w:val="24"/>
      <w:szCs w:val="24"/>
    </w:rPr>
  </w:style>
  <w:style w:type="paragraph" w:styleId="1183"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1184" w:customStyle="1">
    <w:name w:val="文字"/>
    <w:basedOn w:val="1120"/>
    <w:uiPriority w:val="0"/>
    <w:qFormat/>
    <w:pPr>
      <w:ind w:firstLine="420"/>
      <w:spacing w:line="360" w:lineRule="auto"/>
      <w:widowControl/>
    </w:pPr>
    <w:rPr>
      <w:rFonts w:eastAsia="宋体"/>
      <w:sz w:val="24"/>
      <w:szCs w:val="24"/>
    </w:rPr>
  </w:style>
  <w:style w:type="character" w:styleId="1185" w:customStyle="1">
    <w:name w:val="正文缩进 Char"/>
    <w:link w:val="1186"/>
    <w:uiPriority w:val="0"/>
    <w:qFormat/>
    <w:rPr>
      <w:rFonts w:eastAsia="楷体_GB2312"/>
      <w:sz w:val="24"/>
      <w:lang w:val="en-US" w:eastAsia="zh-CN" w:bidi="ar-SA"/>
    </w:rPr>
  </w:style>
  <w:style w:type="paragraph" w:styleId="1186" w:customStyle="1">
    <w:name w:val="正文缩进1"/>
    <w:basedOn w:val="1120"/>
    <w:link w:val="1185"/>
    <w:uiPriority w:val="0"/>
    <w:qFormat/>
    <w:pPr>
      <w:ind w:firstLine="420"/>
      <w:jc w:val="left"/>
      <w:widowControl/>
    </w:pPr>
    <w:rPr>
      <w:rFonts w:asciiTheme="minorHAnsi" w:hAnsiTheme="minorHAnsi" w:cstheme="minorBidi"/>
      <w:sz w:val="24"/>
    </w:rPr>
  </w:style>
  <w:style w:type="paragraph" w:styleId="1187">
    <w:name w:val="List Paragraph"/>
    <w:basedOn w:val="1120"/>
    <w:uiPriority w:val="0"/>
    <w:qFormat/>
    <w:pPr>
      <w:ind w:firstLine="420"/>
    </w:pPr>
    <w:rPr>
      <w:rFonts w:eastAsia="宋体"/>
      <w:sz w:val="21"/>
      <w:szCs w:val="24"/>
    </w:rPr>
  </w:style>
  <w:style w:type="paragraph" w:styleId="1188" w:customStyle="1">
    <w:name w:val="正文_0_0"/>
    <w:uiPriority w:val="0"/>
    <w:qFormat/>
    <w:pPr>
      <w:jc w:val="both"/>
      <w:widowControl w:val="off"/>
    </w:pPr>
    <w:rPr>
      <w:rFonts w:ascii="Calibri" w:hAnsi="Calibri" w:eastAsia="宋体" w:cs="Times New Roman"/>
      <w:lang w:val="en-US" w:eastAsia="zh-CN" w:bidi="ar-SA"/>
    </w:rPr>
  </w:style>
  <w:style w:type="paragraph" w:styleId="1189"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1190" w:customStyle="1">
    <w:name w:val="修订1"/>
    <w:hidden/>
    <w:uiPriority w:val="99"/>
    <w:semiHidden/>
    <w:qFormat/>
    <w:rPr>
      <w:rFonts w:ascii="Times New Roman" w:hAnsi="Times New Roman" w:eastAsia="楷体_GB2312" w:cs="Times New Roman"/>
      <w:sz w:val="26"/>
      <w:lang w:val="en-US" w:eastAsia="zh-CN" w:bidi="ar-SA"/>
    </w:rPr>
  </w:style>
  <w:style w:type="character" w:styleId="1191" w:customStyle="1">
    <w:name w:val="正文首行缩进 2 字符"/>
    <w:basedOn w:val="1180"/>
    <w:link w:val="1150"/>
    <w:uiPriority w:val="0"/>
    <w:qFormat/>
    <w:rPr>
      <w:rFonts w:ascii="Times New Roman" w:hAnsi="Times New Roman" w:eastAsia="宋体" w:cs="Times New Roman"/>
      <w:sz w:val="26"/>
      <w:szCs w:val="24"/>
    </w:rPr>
  </w:style>
  <w:style w:type="paragraph" w:styleId="1192" w:customStyle="1">
    <w:name w:val="b4一级标题"/>
    <w:basedOn w:val="1120"/>
    <w:uiPriority w:val="0"/>
    <w:qFormat/>
    <w:pPr>
      <w:jc w:val="center"/>
      <w:spacing w:line="360" w:lineRule="auto"/>
      <w:outlineLvl w:val="0"/>
    </w:pPr>
    <w:rPr>
      <w:rFonts w:ascii="宋体" w:hAnsi="宋体" w:eastAsia="宋体"/>
      <w:b/>
      <w:sz w:val="36"/>
      <w:szCs w:val="36"/>
    </w:rPr>
  </w:style>
  <w:style w:type="paragraph" w:styleId="1193" w:customStyle="1">
    <w:name w:val="标题3"/>
    <w:basedOn w:val="1123"/>
    <w:uiPriority w:val="0"/>
    <w:qFormat/>
    <w:pPr>
      <w:contextualSpacing/>
      <w:jc w:val="center"/>
      <w:spacing w:line="240" w:lineRule="auto"/>
    </w:pPr>
    <w:rPr>
      <w:rFonts w:eastAsia="黑体" w:cs="宋体"/>
      <w:sz w:val="28"/>
      <w:szCs w:val="20"/>
    </w:rPr>
  </w:style>
  <w:style w:type="paragraph" w:styleId="1194"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1195" w:customStyle="1">
    <w:name w:val="副标题 字符"/>
    <w:basedOn w:val="1125"/>
    <w:link w:val="1143"/>
    <w:uiPriority w:val="0"/>
    <w:qFormat/>
    <w:rPr>
      <w:rFonts w:ascii="Cambria" w:hAnsi="Cambria" w:eastAsia="宋体" w:cs="Times New Roman"/>
      <w:b/>
      <w:bCs/>
      <w:sz w:val="32"/>
      <w:szCs w:val="32"/>
    </w:rPr>
  </w:style>
  <w:style w:type="paragraph" w:styleId="1196">
    <w:name w:val="No Spacing"/>
    <w:link w:val="1197"/>
    <w:uiPriority w:val="1"/>
    <w:qFormat/>
    <w:rPr>
      <w:rFonts w:asciiTheme="minorHAnsi" w:hAnsiTheme="minorHAnsi" w:eastAsiaTheme="minorEastAsia" w:cstheme="minorBidi"/>
      <w:sz w:val="22"/>
      <w:szCs w:val="22"/>
      <w:lang w:val="en-US" w:eastAsia="zh-CN" w:bidi="ar-SA"/>
    </w:rPr>
  </w:style>
  <w:style w:type="character" w:styleId="1197" w:customStyle="1">
    <w:name w:val="无间隔 字符"/>
    <w:basedOn w:val="1125"/>
    <w:link w:val="1196"/>
    <w:uiPriority w:val="1"/>
    <w:qFormat/>
    <w:rPr>
      <w:sz w:val="22"/>
    </w:rPr>
  </w:style>
  <w:style w:type="character" w:styleId="1198" w:customStyle="1">
    <w:name w:val="ask-title"/>
    <w:basedOn w:val="1125"/>
    <w:uiPriority w:val="0"/>
    <w:qFormat/>
  </w:style>
  <w:style w:type="paragraph" w:styleId="1199" w:customStyle="1">
    <w:name w:val="hidinshow"/>
    <w:basedOn w:val="1120"/>
    <w:uiPriority w:val="0"/>
    <w:qFormat/>
    <w:pPr>
      <w:jc w:val="left"/>
      <w:spacing w:before="100" w:beforeAutospacing="1" w:after="100" w:afterAutospacing="1"/>
      <w:widowControl/>
    </w:pPr>
    <w:rPr>
      <w:rFonts w:ascii="宋体" w:hAnsi="宋体" w:eastAsia="宋体" w:cs="宋体"/>
      <w:sz w:val="24"/>
      <w:szCs w:val="24"/>
    </w:rPr>
  </w:style>
  <w:style w:type="paragraph" w:styleId="1200" w:customStyle="1">
    <w:name w:val="纯文本2"/>
    <w:basedOn w:val="1120"/>
    <w:uiPriority w:val="0"/>
    <w:qFormat/>
    <w:rPr>
      <w:rFonts w:ascii="宋体" w:hAnsi="Courier New"/>
    </w:rPr>
  </w:style>
  <w:style w:type="paragraph" w:styleId="1201" w:customStyle="1">
    <w:name w:val="Plain Text1"/>
    <w:basedOn w:val="1120"/>
    <w:uiPriority w:val="0"/>
    <w:qFormat/>
    <w:rPr>
      <w:rFonts w:hint="eastAsia" w:ascii="宋体" w:hAnsi="Courier New"/>
      <w:sz w:val="28"/>
    </w:rPr>
  </w:style>
  <w:style w:type="table" w:styleId="1202" w:customStyle="1">
    <w:name w:val="网格型1"/>
    <w:basedOn w:val="1126"/>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3" w:customStyle="1">
    <w:name w:val="*正文"/>
    <w:basedOn w:val="1120"/>
    <w:uiPriority w:val="0"/>
    <w:qFormat/>
    <w:pPr>
      <w:ind w:firstLine="200"/>
      <w:spacing w:line="360" w:lineRule="auto"/>
      <w:widowControl/>
    </w:pPr>
    <w:rPr>
      <w:rFonts w:ascii="仿宋_GB2312" w:hAnsi="Calibri" w:eastAsia="仿宋_GB2312"/>
      <w:sz w:val="24"/>
      <w:szCs w:val="28"/>
    </w:rPr>
  </w:style>
  <w:style w:type="paragraph" w:styleId="1204" w:customStyle="1">
    <w:name w:val="p25"/>
    <w:basedOn w:val="1120"/>
    <w:uiPriority w:val="0"/>
    <w:qFormat/>
    <w:rPr>
      <w:rFonts w:ascii="黑体" w:hAnsi="黑体" w:eastAsia="宋体" w:cs="黑体"/>
      <w:sz w:val="21"/>
      <w:szCs w:val="26"/>
    </w:rPr>
  </w:style>
  <w:style w:type="paragraph" w:styleId="1205" w:customStyle="1">
    <w:name w:val="纯文本11"/>
    <w:basedOn w:val="1120"/>
    <w:uiPriority w:val="0"/>
    <w:qFormat/>
    <w:rPr>
      <w:rFonts w:ascii="宋体" w:hAnsi="Courier New"/>
      <w:sz w:val="28"/>
    </w:rPr>
  </w:style>
  <w:style w:type="paragraph" w:styleId="1206" w:customStyle="1">
    <w:name w:val="修订11"/>
    <w:hidden/>
    <w:uiPriority w:val="99"/>
    <w:semiHidden/>
    <w:qFormat/>
    <w:rPr>
      <w:rFonts w:ascii="Times New Roman" w:hAnsi="Times New Roman" w:eastAsia="楷体_GB2312" w:cs="Times New Roman"/>
      <w:sz w:val="26"/>
      <w:lang w:val="en-US" w:eastAsia="zh-CN" w:bidi="ar-SA"/>
    </w:rPr>
  </w:style>
  <w:style w:type="paragraph" w:styleId="120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08" w:customStyle="1">
    <w:name w:val="格式３"/>
    <w:basedOn w:val="1120"/>
    <w:uiPriority w:val="0"/>
    <w:qFormat/>
    <w:pPr>
      <w:ind w:left="600" w:hanging="600"/>
      <w:spacing w:line="420" w:lineRule="exact"/>
    </w:pPr>
    <w:rPr>
      <w:rFonts w:ascii="宋体" w:hAnsi="宋体" w:eastAsia="宋体"/>
      <w:color w:val="000000"/>
      <w:sz w:val="24"/>
    </w:rPr>
  </w:style>
  <w:style w:type="character" w:styleId="1209" w:customStyle="1">
    <w:name w:val="font71"/>
    <w:basedOn w:val="1125"/>
    <w:uiPriority w:val="0"/>
    <w:qFormat/>
    <w:rPr>
      <w:rFonts w:hint="eastAsia" w:ascii="宋体" w:hAnsi="宋体" w:eastAsia="宋体" w:cs="宋体"/>
      <w:color w:val="000000"/>
      <w:sz w:val="21"/>
      <w:szCs w:val="21"/>
      <w:u w:val="none"/>
    </w:rPr>
  </w:style>
  <w:style w:type="character" w:styleId="1210" w:customStyle="1">
    <w:name w:val="font61"/>
    <w:basedOn w:val="1125"/>
    <w:uiPriority w:val="0"/>
    <w:qFormat/>
    <w:rPr>
      <w:rFonts w:hint="eastAsia" w:ascii="宋体" w:hAnsi="宋体" w:eastAsia="宋体" w:cs="宋体"/>
      <w:color w:val="ff0000"/>
      <w:sz w:val="21"/>
      <w:szCs w:val="21"/>
      <w:u w:val="none"/>
    </w:rPr>
  </w:style>
  <w:style w:type="character" w:styleId="1211" w:customStyle="1">
    <w:name w:val="font41"/>
    <w:basedOn w:val="1125"/>
    <w:uiPriority w:val="0"/>
    <w:qFormat/>
    <w:rPr>
      <w:rFonts w:hint="eastAsia" w:ascii="宋体" w:hAnsi="宋体" w:eastAsia="宋体" w:cs="宋体"/>
      <w:color w:val="000000"/>
      <w:sz w:val="21"/>
      <w:szCs w:val="21"/>
      <w:u w:val="none"/>
    </w:rPr>
  </w:style>
  <w:style w:type="character" w:styleId="1212" w:customStyle="1">
    <w:name w:val="font101"/>
    <w:basedOn w:val="1125"/>
    <w:uiPriority w:val="0"/>
    <w:qFormat/>
    <w:rPr>
      <w:rFonts w:ascii="微软雅黑" w:hAnsi="微软雅黑" w:eastAsia="微软雅黑" w:cs="微软雅黑"/>
      <w:color w:val="000000"/>
      <w:sz w:val="22"/>
      <w:szCs w:val="22"/>
      <w:u w:val="none"/>
    </w:rPr>
  </w:style>
  <w:style w:type="character" w:styleId="1213" w:customStyle="1">
    <w:name w:val="font81"/>
    <w:basedOn w:val="1125"/>
    <w:uiPriority w:val="0"/>
    <w:qFormat/>
    <w:rPr>
      <w:rFonts w:hint="eastAsia" w:ascii="宋体" w:hAnsi="宋体" w:eastAsia="宋体" w:cs="宋体"/>
      <w:color w:val="ff0000"/>
      <w:sz w:val="21"/>
      <w:szCs w:val="21"/>
      <w:u w:val="none"/>
    </w:rPr>
  </w:style>
  <w:style w:type="character" w:styleId="1214" w:customStyle="1">
    <w:name w:val="font111"/>
    <w:basedOn w:val="1125"/>
    <w:uiPriority w:val="0"/>
    <w:qFormat/>
    <w:rPr>
      <w:rFonts w:hint="eastAsia" w:ascii="微软雅黑" w:hAnsi="微软雅黑" w:eastAsia="微软雅黑" w:cs="微软雅黑"/>
      <w:color w:val="ff0000"/>
      <w:sz w:val="22"/>
      <w:szCs w:val="22"/>
      <w:u w:val="none"/>
    </w:rPr>
  </w:style>
  <w:style w:type="character" w:styleId="1215" w:customStyle="1">
    <w:name w:val="font122"/>
    <w:basedOn w:val="1125"/>
    <w:uiPriority w:val="0"/>
    <w:qFormat/>
    <w:rPr>
      <w:rFonts w:hint="eastAsia" w:ascii="宋体" w:hAnsi="宋体" w:eastAsia="宋体" w:cs="宋体"/>
      <w:color w:val="000000"/>
      <w:sz w:val="18"/>
      <w:szCs w:val="18"/>
      <w:u w:val="none"/>
    </w:rPr>
  </w:style>
  <w:style w:type="paragraph" w:styleId="1216" w:customStyle="1">
    <w:name w:val="[基本段落]"/>
    <w:basedOn w:val="1120"/>
    <w:uiPriority w:val="0"/>
    <w:qFormat/>
    <w:pPr>
      <w:spacing w:line="288" w:lineRule="auto"/>
    </w:pPr>
    <w:rPr>
      <w:rFonts w:ascii="Adobe 宋体 Std L" w:eastAsia="Adobe 宋体 Std L" w:cs="Adobe 宋体 Std L" w:hAnsiTheme="minorHAnsi"/>
      <w:color w:val="000000"/>
      <w:sz w:val="24"/>
      <w:szCs w:val="24"/>
      <w:lang w:val="zh-CN"/>
    </w:rPr>
  </w:style>
  <w:style w:type="paragraph" w:styleId="1217" w:customStyle="1">
    <w:name w:val="me正文"/>
    <w:uiPriority w:val="0"/>
    <w:qFormat/>
    <w:pPr>
      <w:ind w:firstLine="200"/>
      <w:jc w:val="both"/>
      <w:spacing w:line="360" w:lineRule="auto"/>
      <w:widowControl w:val="off"/>
    </w:pPr>
    <w:rPr>
      <w:rFonts w:ascii="Times New Roman" w:hAnsi="Times New Roman" w:eastAsia="宋体" w:cs="Times New Roman"/>
      <w:sz w:val="28"/>
      <w:szCs w:val="21"/>
      <w:lang w:val="en-US" w:eastAsia="zh-CN" w:bidi="ar-SA"/>
    </w:rPr>
  </w:style>
  <w:style w:type="paragraph" w:styleId="1218" w:customStyle="1">
    <w:name w:val="Table Paragraph"/>
    <w:basedOn w:val="1120"/>
    <w:uiPriority w:val="1"/>
    <w:qFormat/>
    <w:pPr>
      <w:ind w:left="108"/>
      <w:jc w:val="left"/>
      <w:spacing w:before="33"/>
    </w:pPr>
    <w:rPr>
      <w:rFonts w:ascii="宋体" w:hAnsi="宋体" w:cs="宋体"/>
      <w:sz w:val="22"/>
      <w:lang w:val="zh-CN" w:bidi="zh-CN"/>
    </w:rPr>
  </w:style>
  <w:style w:type="paragraph" w:styleId="1219" w:customStyle="1">
    <w:name w:val="首行缩进"/>
    <w:basedOn w:val="1120"/>
    <w:uiPriority w:val="0"/>
    <w:qFormat/>
    <w:pPr>
      <w:ind w:firstLine="480"/>
      <w:jc w:val="left"/>
      <w:spacing w:line="360" w:lineRule="auto"/>
      <w:widowControl/>
    </w:pPr>
    <w:rPr>
      <w:rFonts w:ascii="宋体" w:hAnsi="宋体" w:eastAsia="宋体"/>
      <w:sz w:val="24"/>
      <w:szCs w:val="24"/>
    </w:rPr>
  </w:style>
  <w:style w:type="character" w:styleId="1220" w:customStyle="1">
    <w:name w:val="正文缩进 字符1"/>
    <w:uiPriority w:val="0"/>
    <w:qFormat/>
    <w:rPr>
      <w:rFonts w:ascii="Times New Roman" w:hAnsi="Times New Roman" w:eastAsia="@楷体_GB2312" w:cs="Times New Roman"/>
      <w:sz w:val="21"/>
      <w:lang w:val="en-US" w:eastAsia="zh-CN" w:bidi="ar-SA"/>
    </w:rPr>
  </w:style>
  <w:style w:type="character" w:styleId="1221" w:customStyle="1">
    <w:name w:val="列出段落 Char"/>
    <w:link w:val="1222"/>
    <w:uiPriority w:val="0"/>
    <w:qFormat/>
    <w:rPr>
      <w:rFonts w:eastAsia="@楷体_GB2312"/>
      <w:sz w:val="28"/>
      <w:szCs w:val="24"/>
    </w:rPr>
  </w:style>
  <w:style w:type="paragraph" w:styleId="1222" w:customStyle="1">
    <w:name w:val="列出段落1"/>
    <w:basedOn w:val="1120"/>
    <w:link w:val="1221"/>
    <w:uiPriority w:val="0"/>
    <w:qFormat/>
    <w:pPr>
      <w:ind w:firstLine="420"/>
      <w:jc w:val="left"/>
    </w:pPr>
    <w:rPr>
      <w:rFonts w:eastAsia="@楷体_GB2312"/>
      <w:sz w:val="28"/>
      <w:szCs w:val="24"/>
    </w:rPr>
  </w:style>
  <w:style w:type="character" w:styleId="1223" w:customStyle="1">
    <w:name w:val="Andy_正文 Char"/>
    <w:link w:val="1224"/>
    <w:uiPriority w:val="0"/>
    <w:qFormat/>
    <w:rPr>
      <w:rFonts w:ascii="@楷体_GB2312" w:hAnsi="@楷体_GB2312" w:eastAsia="@楷体_GB2312"/>
      <w:sz w:val="24"/>
      <w:szCs w:val="24"/>
    </w:rPr>
  </w:style>
  <w:style w:type="paragraph" w:styleId="1224" w:customStyle="1">
    <w:name w:val="Andy_正文"/>
    <w:basedOn w:val="1120"/>
    <w:link w:val="1223"/>
    <w:uiPriority w:val="0"/>
    <w:qFormat/>
    <w:pPr>
      <w:ind w:firstLine="480"/>
      <w:spacing w:line="360" w:lineRule="auto"/>
    </w:pPr>
    <w:rPr>
      <w:rFonts w:ascii="@楷体_GB2312" w:hAnsi="@楷体_GB2312" w:eastAsia="@楷体_GB2312"/>
      <w:sz w:val="24"/>
      <w:szCs w:val="24"/>
    </w:rPr>
  </w:style>
  <w:style w:type="character" w:styleId="1225" w:customStyle="1">
    <w:name w:val="Andy_3级 Char"/>
    <w:link w:val="1226"/>
    <w:uiPriority w:val="0"/>
    <w:qFormat/>
    <w:rPr>
      <w:rFonts w:ascii="@楷体_GB2312" w:hAnsi="@楷体_GB2312" w:eastAsia="@楷体_GB2312"/>
      <w:sz w:val="24"/>
    </w:rPr>
  </w:style>
  <w:style w:type="paragraph" w:styleId="1226" w:customStyle="1">
    <w:name w:val="Andy_3级"/>
    <w:basedOn w:val="1120"/>
    <w:link w:val="1225"/>
    <w:uiPriority w:val="0"/>
    <w:qFormat/>
    <w:pPr>
      <w:ind w:left="1274" w:hanging="750"/>
      <w:spacing w:line="360" w:lineRule="auto"/>
      <w:tabs>
        <w:tab w:val="left" w:pos="1274" w:leader="none"/>
      </w:tabs>
    </w:pPr>
    <w:rPr>
      <w:rFonts w:ascii="@楷体_GB2312" w:hAnsi="@楷体_GB2312" w:eastAsia="@楷体_GB2312"/>
      <w:sz w:val="24"/>
    </w:rPr>
  </w:style>
  <w:style w:type="character" w:styleId="1227" w:customStyle="1">
    <w:name w:val="Andy_2级 Char"/>
    <w:link w:val="1228"/>
    <w:uiPriority w:val="0"/>
    <w:qFormat/>
    <w:rPr>
      <w:rFonts w:ascii="@楷体_GB2312" w:hAnsi="@楷体_GB2312" w:eastAsia="@楷体_GB2312"/>
      <w:sz w:val="24"/>
    </w:rPr>
  </w:style>
  <w:style w:type="paragraph" w:styleId="1228" w:customStyle="1">
    <w:name w:val="Andy_2级"/>
    <w:basedOn w:val="1229"/>
    <w:link w:val="1227"/>
    <w:uiPriority w:val="0"/>
    <w:qFormat/>
    <w:pPr>
      <w:ind w:left="1440" w:hanging="360"/>
      <w:tabs>
        <w:tab w:val="left" w:pos="1012" w:leader="none"/>
        <w:tab w:val="left" w:pos="1440" w:leader="none"/>
      </w:tabs>
    </w:pPr>
    <w:rPr>
      <w:szCs w:val="20"/>
    </w:rPr>
  </w:style>
  <w:style w:type="paragraph" w:styleId="1229" w:customStyle="1">
    <w:name w:val="Andy_二级"/>
    <w:basedOn w:val="1120"/>
    <w:uiPriority w:val="0"/>
    <w:qFormat/>
    <w:pPr>
      <w:ind w:left="1012" w:hanging="750"/>
      <w:spacing w:line="360" w:lineRule="auto"/>
      <w:tabs>
        <w:tab w:val="left" w:pos="1012" w:leader="none"/>
      </w:tabs>
    </w:pPr>
    <w:rPr>
      <w:rFonts w:ascii="@楷体_GB2312" w:hAnsi="@楷体_GB2312" w:eastAsia="@楷体_GB2312"/>
      <w:sz w:val="24"/>
      <w:szCs w:val="22"/>
    </w:rPr>
  </w:style>
  <w:style w:type="character" w:styleId="1230" w:customStyle="1">
    <w:name w:val="font21"/>
    <w:basedOn w:val="1125"/>
    <w:uiPriority w:val="0"/>
    <w:qFormat/>
    <w:rPr>
      <w:rFonts w:hint="eastAsia" w:ascii="黑体" w:hAnsi="宋体" w:eastAsia="黑体" w:cs="黑体"/>
      <w:color w:val="000000"/>
      <w:sz w:val="24"/>
      <w:szCs w:val="24"/>
      <w:u w:val="none"/>
    </w:rPr>
  </w:style>
  <w:style w:type="character" w:styleId="1231" w:customStyle="1">
    <w:name w:val="font31"/>
    <w:basedOn w:val="1125"/>
    <w:uiPriority w:val="0"/>
    <w:qFormat/>
    <w:rPr>
      <w:rFonts w:hint="eastAsia" w:ascii="宋体" w:hAnsi="宋体" w:eastAsia="宋体" w:cs="宋体"/>
      <w:color w:val="000000"/>
      <w:sz w:val="24"/>
      <w:szCs w:val="24"/>
      <w:u w:val="none"/>
    </w:rPr>
  </w:style>
  <w:style w:type="character" w:styleId="1232" w:customStyle="1">
    <w:name w:val="font51"/>
    <w:basedOn w:val="1125"/>
    <w:uiPriority w:val="0"/>
    <w:qFormat/>
    <w:rPr>
      <w:rFonts w:hint="default" w:ascii="Times New Roman" w:hAnsi="Times New Roman" w:cs="Times New Roman"/>
      <w:color w:val="000000"/>
      <w:sz w:val="24"/>
      <w:szCs w:val="24"/>
      <w:u w:val="none"/>
    </w:rPr>
  </w:style>
  <w:style w:type="paragraph" w:styleId="1233" w:customStyle="1">
    <w:name w:val="修订2"/>
    <w:hidden/>
    <w:uiPriority w:val="99"/>
    <w:semiHidden/>
    <w:qFormat/>
    <w:rPr>
      <w:rFonts w:ascii="Times New Roman" w:hAnsi="Times New Roman" w:eastAsia="楷体_GB2312" w:cs="Times New Roman"/>
      <w:sz w:val="26"/>
      <w:lang w:val="en-US" w:eastAsia="zh-CN" w:bidi="ar-SA"/>
    </w:rPr>
  </w:style>
  <w:style w:type="character" w:styleId="1234" w:customStyle="1">
    <w:name w:val="cf01"/>
    <w:basedOn w:val="1125"/>
    <w:uiPriority w:val="0"/>
    <w:qFormat/>
    <w:rPr>
      <w:rFonts w:hint="eastAsia" w:ascii="Microsoft YaHei UI" w:hAnsi="Microsoft YaHei UI" w:eastAsia="Microsoft YaHei UI"/>
      <w:sz w:val="18"/>
      <w:szCs w:val="18"/>
    </w:rPr>
  </w:style>
  <w:style w:type="character" w:styleId="1235" w:customStyle="1">
    <w:name w:val="cf11"/>
    <w:basedOn w:val="1125"/>
    <w:uiPriority w:val="0"/>
    <w:qFormat/>
    <w:rPr>
      <w:rFonts w:hint="eastAsia" w:ascii="Microsoft YaHei UI" w:hAnsi="Microsoft YaHei UI" w:eastAsia="Microsoft YaHei UI"/>
      <w:color w:val="ff0000"/>
      <w:sz w:val="18"/>
      <w:szCs w:val="18"/>
    </w:rPr>
  </w:style>
  <w:style w:type="paragraph" w:styleId="1236" w:customStyle="1">
    <w:name w:val="正文_1_0"/>
    <w:uiPriority w:val="99"/>
    <w:qFormat/>
    <w:pPr>
      <w:jc w:val="both"/>
      <w:widowControl w:val="off"/>
    </w:pPr>
    <w:rPr>
      <w:rFonts w:ascii="宋体" w:hAnsi="Times New Roman" w:eastAsia="宋体" w:cs="Times New Roman"/>
      <w:sz w:val="21"/>
      <w:szCs w:val="24"/>
      <w:lang w:val="en-US" w:eastAsia="zh-CN" w:bidi="ar-SA"/>
    </w:rPr>
  </w:style>
  <w:style w:type="paragraph" w:styleId="1237" w:customStyle="1">
    <w:name w:val="正文11"/>
    <w:uiPriority w:val="99"/>
    <w:qFormat/>
    <w:pPr>
      <w:ind w:firstLine="200"/>
      <w:jc w:val="both"/>
      <w:spacing w:line="360" w:lineRule="auto"/>
      <w:widowControl w:val="off"/>
    </w:pPr>
    <w:rPr>
      <w:rFonts w:ascii="Calibri" w:hAnsi="Calibri" w:eastAsia="仿宋_GB2312" w:cs="Times New Roman"/>
      <w:sz w:val="24"/>
      <w:szCs w:val="22"/>
      <w:lang w:val="en-US" w:eastAsia="zh-CN" w:bidi="ar-SA"/>
    </w:rPr>
  </w:style>
  <w:style w:type="character" w:styleId="1238" w:customStyle="1">
    <w:name w:val="Default Char"/>
    <w:link w:val="1157"/>
    <w:uiPriority w:val="0"/>
    <w:qFormat/>
    <w:rPr>
      <w:rFonts w:ascii="宋体糭.飬.." w:eastAsia="宋体糭.飬.." w:cs="宋体糭.飬.."/>
      <w:color w:val="000000"/>
      <w:sz w:val="24"/>
      <w:szCs w:val="24"/>
    </w:rPr>
  </w:style>
  <w:style w:type="character" w:styleId="1239" w:customStyle="1">
    <w:name w:val="文档结构图 字符"/>
    <w:basedOn w:val="1125"/>
    <w:link w:val="1129"/>
    <w:uiPriority w:val="0"/>
    <w:qFormat/>
    <w:rPr>
      <w:rFonts w:hint="eastAsia" w:ascii="Microsoft YaHei UI" w:hAnsi="Times New Roman" w:eastAsia="Microsoft YaHei UI" w:cs="Times New Roman"/>
      <w:sz w:val="18"/>
      <w:szCs w:val="18"/>
    </w:rPr>
  </w:style>
  <w:style w:type="character" w:styleId="1240" w:customStyle="1">
    <w:name w:val="正文缩进 字符2"/>
    <w:basedOn w:val="1125"/>
    <w:link w:val="1128"/>
    <w:uiPriority w:val="0"/>
    <w:qFormat/>
    <w:rPr>
      <w:rFonts w:hint="default" w:ascii="楷体_GB2312" w:eastAsia="楷体_GB2312" w:cs="楷体_GB2312"/>
      <w:sz w:val="24"/>
    </w:rPr>
  </w:style>
  <w:style w:type="character" w:styleId="1241" w:customStyle="1">
    <w:name w:val="NormalCharacter"/>
    <w:basedOn w:val="1125"/>
    <w:uiPriority w:val="0"/>
    <w:qFormat/>
  </w:style>
  <w:style w:type="character" w:styleId="1242" w:customStyle="1">
    <w:name w:val="页脚 字符1"/>
    <w:basedOn w:val="1125"/>
    <w:link w:val="1139"/>
    <w:uiPriority w:val="0"/>
    <w:qFormat/>
    <w:rPr>
      <w:rFonts w:hint="default" w:ascii="楷体_GB2312" w:eastAsia="楷体_GB2312" w:cs="楷体_GB2312"/>
      <w:sz w:val="18"/>
    </w:rPr>
  </w:style>
  <w:style w:type="paragraph" w:styleId="1243" w:customStyle="1">
    <w:name w:val="纯文本4"/>
    <w:basedOn w:val="1120"/>
    <w:uiPriority w:val="0"/>
    <w:qFormat/>
    <w:rPr>
      <w:rFonts w:ascii="宋体" w:hAnsi="Courier New"/>
    </w:rPr>
  </w:style>
  <w:style w:type="paragraph" w:styleId="1244"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245" w:customStyle="1">
    <w:name w:val="目录 51"/>
    <w:next w:val="1120"/>
    <w:uiPriority w:val="0"/>
    <w:qFormat/>
    <w:pPr>
      <w:ind w:left="1275"/>
      <w:jc w:val="both"/>
    </w:pPr>
    <w:rPr>
      <w:rFonts w:ascii="Times New Roman" w:hAnsi="Times New Roman" w:eastAsia="宋体" w:cs="Times New Roman"/>
      <w:sz w:val="21"/>
      <w:lang w:val="en-US" w:eastAsia="zh-CN" w:bidi="ar-SA"/>
    </w:rPr>
  </w:style>
  <w:style w:type="paragraph" w:styleId="1246" w:customStyle="1">
    <w:name w:val="x_msonormal"/>
    <w:basedOn w:val="1120"/>
    <w:uiPriority w:val="0"/>
    <w:qFormat/>
    <w:pPr>
      <w:jc w:val="left"/>
      <w:spacing w:before="100" w:beforeAutospacing="1" w:after="100" w:afterAutospacing="1"/>
      <w:widowControl/>
    </w:pPr>
    <w:rPr>
      <w:rFonts w:ascii="宋体" w:hAnsi="宋体" w:eastAsia="宋体" w:cs="宋体"/>
      <w:szCs w:val="24"/>
    </w:rPr>
  </w:style>
  <w:style w:type="paragraph" w:styleId="1247" w:customStyle="1">
    <w:name w:val="Revision"/>
    <w:hidden/>
    <w:uiPriority w:val="99"/>
    <w:semiHidden/>
    <w:qFormat/>
    <w:rPr>
      <w:rFonts w:ascii="Times New Roman" w:hAnsi="Times New Roman" w:eastAsia="楷体_GB2312" w:cs="Times New Roman"/>
      <w:sz w:val="26"/>
      <w:lang w:val="en-US" w:eastAsia="zh-CN" w:bidi="ar-SA"/>
    </w:rPr>
  </w:style>
  <w:style w:type="numbering" w:styleId="1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苏州华星田娟</cp:lastModifiedBy>
  <cp:revision>8</cp:revision>
  <dcterms:created xsi:type="dcterms:W3CDTF">2026-04-27T09:27:00Z</dcterms:created>
  <dcterms:modified xsi:type="dcterms:W3CDTF">2026-05-18T08:41:19Z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9FEF8FA302A54639A0B9CDD18082EEFF_13</vt:lpwstr>
  </property>
  <property fmtid="{D5CDD505-2E9C-101B-9397-08002B2CF9AE}" pid="4" name="KSOTemplateDocerSaveRecord">
    <vt:lpwstr>eyJoZGlkIjoiZDViOTliMTQ1NGRlNmVkYTY3N2JjOTk2ZTliOTNlMWYiLCJ1c2VySWQiOiIxMzYxNzMzOTA3In0=</vt:lpwstr>
  </property>
</Properties>
</file>